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rPr>
      </w:pPr>
      <w:r>
        <w:rPr>
          <w:rFonts w:hint="eastAsia" w:ascii="方正魏碑简体" w:eastAsia="方正魏碑简体"/>
          <w:color w:val="FF0000"/>
          <w:sz w:val="92"/>
          <w:szCs w:val="92"/>
        </w:rPr>
        <w:t>项目申报书</w:t>
      </w:r>
    </w:p>
    <w:p>
      <w:pPr>
        <w:widowControl/>
        <w:snapToGrid w:val="0"/>
        <w:spacing w:after="156"/>
        <w:jc w:val="center"/>
        <w:rPr>
          <w:rFonts w:ascii="Times New Roman" w:hAnsi="宋体" w:eastAsia="仿宋_GB2312" w:cs="宋体"/>
          <w:b/>
          <w:color w:val="000080"/>
          <w:kern w:val="0"/>
          <w:sz w:val="32"/>
          <w:szCs w:val="24"/>
        </w:rPr>
      </w:pPr>
      <w:r>
        <w:rPr>
          <w:rFonts w:hint="eastAsia" w:ascii="Times New Roman" w:hAnsi="宋体" w:eastAsia="仿宋_GB2312" w:cs="宋体"/>
          <w:b/>
          <w:color w:val="000080"/>
          <w:kern w:val="0"/>
          <w:sz w:val="32"/>
          <w:szCs w:val="24"/>
        </w:rPr>
        <w:t>2021版</w:t>
      </w: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before="156" w:after="156"/>
        <w:jc w:val="left"/>
        <w:rPr>
          <w:rFonts w:ascii="宋体" w:cs="宋体"/>
          <w:kern w:val="0"/>
          <w:sz w:val="24"/>
          <w:szCs w:val="24"/>
        </w:rPr>
      </w:pPr>
      <w:r>
        <w:rPr>
          <w:rFonts w:hint="eastAsia" w:ascii="Times New Roman" w:hAnsi="宋体" w:eastAsia="仿宋_GB2312" w:cs="宋体"/>
          <w:b/>
          <w:color w:val="000080"/>
          <w:kern w:val="0"/>
          <w:sz w:val="32"/>
          <w:szCs w:val="24"/>
        </w:rPr>
        <w:t>项目名称：</w:t>
      </w:r>
    </w:p>
    <w:p>
      <w:pPr>
        <w:widowControl/>
        <w:snapToGrid w:val="0"/>
        <w:spacing w:before="156" w:after="156"/>
        <w:jc w:val="left"/>
        <w:rPr>
          <w:rFonts w:ascii="宋体" w:cs="宋体"/>
          <w:kern w:val="0"/>
          <w:sz w:val="24"/>
          <w:szCs w:val="24"/>
        </w:rPr>
      </w:pPr>
      <w:r>
        <w:rPr>
          <w:rFonts w:hint="eastAsia" w:ascii="Times New Roman" w:hAnsi="宋体" w:eastAsia="仿宋_GB2312" w:cs="宋体"/>
          <w:b/>
          <w:color w:val="000080"/>
          <w:kern w:val="0"/>
          <w:sz w:val="32"/>
          <w:szCs w:val="24"/>
        </w:rPr>
        <w:t>申报单位名称：（盖章）</w:t>
      </w:r>
    </w:p>
    <w:p>
      <w:pPr>
        <w:widowControl/>
        <w:snapToGrid w:val="0"/>
        <w:spacing w:before="156" w:after="156"/>
        <w:jc w:val="left"/>
        <w:rPr>
          <w:rFonts w:ascii="宋体" w:cs="宋体"/>
          <w:kern w:val="0"/>
          <w:sz w:val="24"/>
          <w:szCs w:val="24"/>
        </w:rPr>
      </w:pPr>
      <w:r>
        <w:rPr>
          <w:rFonts w:hint="eastAsia" w:ascii="Times New Roman" w:hAnsi="宋体" w:eastAsia="仿宋_GB2312" w:cs="宋体"/>
          <w:b/>
          <w:color w:val="000080"/>
          <w:kern w:val="0"/>
          <w:sz w:val="32"/>
          <w:szCs w:val="24"/>
        </w:rPr>
        <w:t>填表日期：</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年</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月</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日</w:t>
      </w:r>
    </w:p>
    <w:p>
      <w:pPr>
        <w:widowControl/>
        <w:adjustRightInd w:val="0"/>
        <w:snapToGrid w:val="0"/>
        <w:jc w:val="left"/>
        <w:rPr>
          <w:rFonts w:ascii="宋体" w:cs="宋体"/>
          <w:kern w:val="0"/>
          <w:sz w:val="24"/>
          <w:szCs w:val="24"/>
        </w:rPr>
      </w:pPr>
      <w:r>
        <w:rPr>
          <w:rFonts w:hint="eastAsia" w:ascii="方正仿宋_GBK" w:hAnsi="宋体" w:eastAsia="仿宋_GB2312" w:cs="宋体"/>
          <w:b/>
          <w:color w:val="000080"/>
          <w:kern w:val="0"/>
          <w:sz w:val="32"/>
          <w:szCs w:val="24"/>
        </w:rPr>
        <w:t>统一社会信用代码：</w:t>
      </w:r>
      <w:r>
        <w:rPr>
          <w:rFonts w:hint="eastAsia" w:ascii="方正仿宋_GBK" w:hAnsi="宋体" w:eastAsia="仿宋_GB2312" w:cs="宋体"/>
          <w:b/>
          <w:bCs/>
          <w:color w:val="000080"/>
          <w:kern w:val="0"/>
          <w:sz w:val="32"/>
          <w:szCs w:val="24"/>
        </w:rPr>
        <w:t>□□□□□□□□□□□□□□□□□□</w:t>
      </w:r>
    </w:p>
    <w:p>
      <w:pPr>
        <w:widowControl/>
        <w:snapToGrid w:val="0"/>
        <w:jc w:val="left"/>
        <w:rPr>
          <w:rFonts w:ascii="宋体" w:cs="宋体"/>
          <w:kern w:val="0"/>
          <w:sz w:val="24"/>
          <w:szCs w:val="24"/>
        </w:rPr>
      </w:pPr>
      <w:r>
        <w:rPr>
          <w:rFonts w:ascii="Times New Roman" w:hAnsi="Times New Roman"/>
          <w:b/>
          <w:bCs/>
          <w:color w:val="000080"/>
          <w:kern w:val="0"/>
          <w:sz w:val="28"/>
          <w:szCs w:val="24"/>
        </w:rPr>
        <w:t> </w:t>
      </w:r>
    </w:p>
    <w:p>
      <w:pPr>
        <w:widowControl/>
        <w:snapToGrid w:val="0"/>
        <w:spacing w:before="120" w:beforeLines="50"/>
        <w:jc w:val="left"/>
        <w:rPr>
          <w:rFonts w:ascii="Times New Roman" w:hAnsi="Times New Roman"/>
          <w:b/>
          <w:bCs/>
          <w:color w:val="000080"/>
          <w:kern w:val="0"/>
          <w:sz w:val="28"/>
          <w:szCs w:val="24"/>
        </w:rPr>
      </w:pPr>
      <w:r>
        <w:rPr>
          <w:rFonts w:ascii="Times New Roman" w:hAnsi="Times New Roman"/>
          <w:b/>
          <w:bCs/>
          <w:color w:val="000080"/>
          <w:kern w:val="0"/>
          <w:sz w:val="28"/>
          <w:szCs w:val="24"/>
        </w:rPr>
        <w:t> </w:t>
      </w:r>
    </w:p>
    <w:p>
      <w:pPr>
        <w:widowControl/>
        <w:snapToGrid w:val="0"/>
        <w:spacing w:before="120" w:beforeLines="50"/>
        <w:jc w:val="left"/>
        <w:rPr>
          <w:rFonts w:ascii="Times New Roman" w:hAnsi="Times New Roman"/>
          <w:b/>
          <w:bCs/>
          <w:color w:val="000080"/>
          <w:kern w:val="0"/>
          <w:sz w:val="28"/>
          <w:szCs w:val="24"/>
        </w:rPr>
      </w:pPr>
    </w:p>
    <w:p>
      <w:pPr>
        <w:widowControl/>
        <w:snapToGrid w:val="0"/>
        <w:jc w:val="center"/>
        <w:rPr>
          <w:rFonts w:ascii="宋体" w:cs="宋体"/>
          <w:kern w:val="0"/>
          <w:sz w:val="24"/>
          <w:szCs w:val="24"/>
        </w:rPr>
      </w:pPr>
      <w:bookmarkStart w:id="0" w:name="_GoBack"/>
      <w:bookmarkEnd w:id="0"/>
      <w:r>
        <w:rPr>
          <w:rFonts w:hint="eastAsia" w:ascii="Times New Roman" w:hAnsi="宋体" w:eastAsia="黑体" w:cs="宋体"/>
          <w:bCs/>
          <w:color w:val="000080"/>
          <w:kern w:val="0"/>
          <w:sz w:val="32"/>
          <w:szCs w:val="24"/>
        </w:rPr>
        <w:t>中国工业大奖工作委员会</w:t>
      </w:r>
    </w:p>
    <w:p>
      <w:pPr>
        <w:widowControl/>
        <w:snapToGrid w:val="0"/>
        <w:rPr>
          <w:rFonts w:ascii="Times New Roman" w:hAnsi="Times New Roman"/>
          <w:color w:val="000000"/>
          <w:kern w:val="0"/>
          <w:sz w:val="24"/>
          <w:szCs w:val="24"/>
        </w:rPr>
      </w:pPr>
    </w:p>
    <w:p>
      <w:pPr>
        <w:widowControl/>
        <w:snapToGrid w:val="0"/>
        <w:jc w:val="left"/>
        <w:rPr>
          <w:rFonts w:ascii="宋体" w:cs="宋体"/>
          <w:kern w:val="0"/>
          <w:sz w:val="24"/>
          <w:szCs w:val="24"/>
        </w:rPr>
      </w:pPr>
      <w:r>
        <w:rPr>
          <w:rFonts w:ascii="Times New Roman" w:hAnsi="Times New Roman"/>
          <w:color w:val="000000"/>
          <w:kern w:val="0"/>
          <w:sz w:val="16"/>
          <w:szCs w:val="24"/>
        </w:rPr>
        <w:t>©</w:t>
      </w:r>
      <w:r>
        <w:rPr>
          <w:rFonts w:hint="eastAsia" w:ascii="Times New Roman" w:hAnsi="Times New Roman" w:cs="宋体"/>
          <w:color w:val="000000"/>
          <w:kern w:val="0"/>
          <w:sz w:val="16"/>
          <w:szCs w:val="24"/>
        </w:rPr>
        <w:t>中国工业大奖工作委员会版</w:t>
      </w:r>
      <w:r>
        <w:rPr>
          <w:rFonts w:hint="eastAsia" w:ascii="Times New Roman" w:hAnsi="宋体" w:cs="宋体"/>
          <w:color w:val="000000"/>
          <w:kern w:val="0"/>
          <w:sz w:val="16"/>
          <w:szCs w:val="24"/>
        </w:rPr>
        <w:t>权</w:t>
      </w:r>
      <w:r>
        <w:rPr>
          <w:rFonts w:hint="eastAsia" w:ascii="Times New Roman" w:hAnsi="Times New Roman" w:cs="宋体"/>
          <w:color w:val="000000"/>
          <w:kern w:val="0"/>
          <w:sz w:val="16"/>
          <w:szCs w:val="24"/>
        </w:rPr>
        <w:t>所有</w:t>
      </w:r>
    </w:p>
    <w:p>
      <w:pPr>
        <w:widowControl/>
        <w:spacing w:before="100" w:beforeAutospacing="1" w:after="100" w:afterAutospacing="1"/>
        <w:jc w:val="left"/>
        <w:rPr>
          <w:rFonts w:ascii="Times New Roman" w:hAnsi="Times New Roman"/>
          <w:color w:val="000000"/>
          <w:sz w:val="14"/>
          <w:szCs w:val="24"/>
        </w:rPr>
        <w:sectPr>
          <w:footerReference r:id="rId3" w:type="even"/>
          <w:pgSz w:w="12240" w:h="15840"/>
          <w:pgMar w:top="1440" w:right="1800" w:bottom="1440" w:left="1800" w:header="720" w:footer="720" w:gutter="0"/>
          <w:cols w:space="720" w:num="1"/>
          <w:titlePg/>
        </w:sectPr>
      </w:pPr>
    </w:p>
    <w:p>
      <w:pPr>
        <w:widowControl/>
        <w:snapToGrid w:val="0"/>
        <w:spacing w:line="360" w:lineRule="exact"/>
        <w:jc w:val="center"/>
        <w:rPr>
          <w:rFonts w:ascii="宋体" w:cs="宋体"/>
          <w:kern w:val="0"/>
          <w:sz w:val="24"/>
          <w:szCs w:val="24"/>
        </w:rPr>
      </w:pPr>
      <w:r>
        <w:rPr>
          <w:rFonts w:ascii="黑体" w:hAnsi="宋体" w:eastAsia="黑体" w:cs="宋体"/>
          <w:kern w:val="0"/>
          <w:sz w:val="18"/>
          <w:szCs w:val="18"/>
        </w:rPr>
        <w:t> </w:t>
      </w:r>
    </w:p>
    <w:p>
      <w:pPr>
        <w:widowControl/>
        <w:snapToGrid w:val="0"/>
        <w:spacing w:after="360" w:line="520" w:lineRule="exact"/>
        <w:jc w:val="center"/>
        <w:rPr>
          <w:rFonts w:ascii="宋体" w:cs="宋体"/>
          <w:kern w:val="0"/>
          <w:sz w:val="24"/>
          <w:szCs w:val="24"/>
        </w:rPr>
      </w:pPr>
      <w:r>
        <w:rPr>
          <w:rFonts w:hint="eastAsia" w:ascii="黑体" w:hAnsi="宋体" w:eastAsia="黑体" w:cs="宋体"/>
          <w:kern w:val="0"/>
          <w:sz w:val="36"/>
          <w:szCs w:val="36"/>
        </w:rPr>
        <w:t>填</w:t>
      </w:r>
      <w:r>
        <w:rPr>
          <w:rFonts w:ascii="黑体" w:hAnsi="宋体" w:eastAsia="黑体" w:cs="宋体"/>
          <w:kern w:val="0"/>
          <w:sz w:val="36"/>
          <w:szCs w:val="36"/>
        </w:rPr>
        <w:t xml:space="preserve"> </w:t>
      </w:r>
      <w:r>
        <w:rPr>
          <w:rFonts w:hint="eastAsia" w:ascii="黑体" w:hAnsi="宋体" w:eastAsia="黑体" w:cs="宋体"/>
          <w:kern w:val="0"/>
          <w:sz w:val="36"/>
          <w:szCs w:val="36"/>
        </w:rPr>
        <w:t>表</w:t>
      </w:r>
      <w:r>
        <w:rPr>
          <w:rFonts w:ascii="黑体" w:hAnsi="宋体" w:eastAsia="黑体" w:cs="宋体"/>
          <w:kern w:val="0"/>
          <w:sz w:val="36"/>
          <w:szCs w:val="36"/>
        </w:rPr>
        <w:t xml:space="preserve"> </w:t>
      </w:r>
      <w:r>
        <w:rPr>
          <w:rFonts w:hint="eastAsia" w:ascii="黑体" w:hAnsi="宋体" w:eastAsia="黑体" w:cs="宋体"/>
          <w:kern w:val="0"/>
          <w:sz w:val="36"/>
          <w:szCs w:val="36"/>
        </w:rPr>
        <w:t>说</w:t>
      </w:r>
      <w:r>
        <w:rPr>
          <w:rFonts w:ascii="黑体" w:hAnsi="宋体" w:eastAsia="黑体" w:cs="宋体"/>
          <w:kern w:val="0"/>
          <w:sz w:val="36"/>
          <w:szCs w:val="36"/>
        </w:rPr>
        <w:t xml:space="preserve"> </w:t>
      </w:r>
      <w:r>
        <w:rPr>
          <w:rFonts w:hint="eastAsia" w:ascii="黑体" w:hAnsi="宋体" w:eastAsia="黑体" w:cs="宋体"/>
          <w:kern w:val="0"/>
          <w:sz w:val="36"/>
          <w:szCs w:val="36"/>
        </w:rPr>
        <w:t>明</w:t>
      </w:r>
    </w:p>
    <w:p>
      <w:pPr>
        <w:widowControl/>
        <w:snapToGrid w:val="0"/>
        <w:spacing w:before="156" w:after="156" w:line="520" w:lineRule="exact"/>
        <w:ind w:firstLine="629"/>
        <w:rPr>
          <w:rFonts w:ascii="宋体" w:cs="宋体"/>
          <w:kern w:val="0"/>
          <w:sz w:val="24"/>
          <w:szCs w:val="24"/>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pPr>
        <w:widowControl/>
        <w:snapToGrid w:val="0"/>
        <w:spacing w:before="156" w:after="156" w:line="520" w:lineRule="exact"/>
        <w:ind w:firstLine="629"/>
        <w:rPr>
          <w:rFonts w:ascii="宋体" w:cs="宋体"/>
          <w:kern w:val="0"/>
          <w:sz w:val="24"/>
          <w:szCs w:val="24"/>
        </w:rPr>
      </w:pPr>
      <w:r>
        <w:rPr>
          <w:rFonts w:ascii="仿宋_GB2312" w:hAnsi="宋体" w:eastAsia="仿宋_GB2312" w:cs="宋体"/>
          <w:kern w:val="0"/>
          <w:sz w:val="28"/>
          <w:szCs w:val="28"/>
        </w:rPr>
        <w:t>2</w:t>
      </w:r>
      <w:r>
        <w:rPr>
          <w:rFonts w:hint="eastAsia" w:ascii="仿宋_GB2312" w:hAnsi="宋体" w:eastAsia="仿宋_GB2312" w:cs="宋体"/>
          <w:kern w:val="0"/>
          <w:sz w:val="28"/>
          <w:szCs w:val="28"/>
        </w:rPr>
        <w:t>、表</w:t>
      </w:r>
      <w:r>
        <w:rPr>
          <w:rFonts w:ascii="仿宋_GB2312" w:hAnsi="宋体" w:eastAsia="仿宋_GB2312" w:cs="宋体"/>
          <w:kern w:val="0"/>
          <w:sz w:val="28"/>
          <w:szCs w:val="28"/>
        </w:rPr>
        <w:t>1</w:t>
      </w:r>
      <w:r>
        <w:rPr>
          <w:rFonts w:hint="eastAsia" w:ascii="仿宋_GB2312" w:hAnsi="宋体" w:eastAsia="仿宋_GB2312" w:cs="宋体"/>
          <w:kern w:val="0"/>
          <w:sz w:val="28"/>
          <w:szCs w:val="28"/>
        </w:rPr>
        <w:t>、</w:t>
      </w:r>
      <w:r>
        <w:rPr>
          <w:rFonts w:ascii="仿宋_GB2312" w:hAnsi="宋体" w:eastAsia="仿宋_GB2312" w:cs="宋体"/>
          <w:kern w:val="0"/>
          <w:sz w:val="28"/>
          <w:szCs w:val="28"/>
        </w:rPr>
        <w:t>2</w:t>
      </w:r>
      <w:r>
        <w:rPr>
          <w:rFonts w:hint="eastAsia" w:ascii="仿宋_GB2312" w:hAnsi="宋体" w:eastAsia="仿宋_GB2312" w:cs="宋体"/>
          <w:kern w:val="0"/>
          <w:sz w:val="28"/>
          <w:szCs w:val="28"/>
        </w:rPr>
        <w:t>、</w:t>
      </w:r>
      <w:r>
        <w:rPr>
          <w:rFonts w:ascii="仿宋_GB2312" w:hAnsi="宋体" w:eastAsia="仿宋_GB2312" w:cs="宋体"/>
          <w:kern w:val="0"/>
          <w:sz w:val="28"/>
          <w:szCs w:val="28"/>
        </w:rPr>
        <w:t>3</w:t>
      </w:r>
      <w:r>
        <w:rPr>
          <w:rFonts w:hint="eastAsia" w:ascii="仿宋_GB2312" w:hAnsi="宋体" w:eastAsia="仿宋_GB2312" w:cs="宋体"/>
          <w:kern w:val="0"/>
          <w:sz w:val="28"/>
          <w:szCs w:val="28"/>
        </w:rPr>
        <w:t>、</w:t>
      </w:r>
      <w:r>
        <w:rPr>
          <w:rFonts w:ascii="仿宋_GB2312" w:hAnsi="宋体" w:eastAsia="仿宋_GB2312" w:cs="宋体"/>
          <w:kern w:val="0"/>
          <w:sz w:val="28"/>
          <w:szCs w:val="28"/>
        </w:rPr>
        <w:t>4</w:t>
      </w:r>
      <w:r>
        <w:rPr>
          <w:rFonts w:hint="eastAsia" w:ascii="仿宋_GB2312" w:hAnsi="宋体" w:eastAsia="仿宋_GB2312" w:cs="宋体"/>
          <w:kern w:val="0"/>
          <w:sz w:val="28"/>
          <w:szCs w:val="28"/>
        </w:rPr>
        <w:t>由申报单位填写，除特别要求外，</w:t>
      </w:r>
      <w:r>
        <w:rPr>
          <w:rFonts w:hint="eastAsia" w:ascii="仿宋_GB2312" w:hAnsi="宋体" w:eastAsia="仿宋_GB2312" w:cs="宋体"/>
          <w:color w:val="000000"/>
          <w:kern w:val="0"/>
          <w:sz w:val="28"/>
          <w:szCs w:val="28"/>
        </w:rPr>
        <w:t>在情况说明栏分别填入</w:t>
      </w:r>
      <w:r>
        <w:rPr>
          <w:rFonts w:ascii="仿宋_GB2312" w:hAnsi="宋体" w:eastAsia="仿宋_GB2312" w:cs="宋体"/>
          <w:color w:val="000000"/>
          <w:kern w:val="0"/>
          <w:sz w:val="28"/>
          <w:szCs w:val="28"/>
        </w:rPr>
        <w:t>201</w:t>
      </w:r>
      <w:r>
        <w:rPr>
          <w:rFonts w:hint="eastAsia" w:ascii="仿宋_GB2312" w:hAnsi="宋体" w:eastAsia="仿宋_GB2312" w:cs="宋体"/>
          <w:color w:val="000000"/>
          <w:kern w:val="0"/>
          <w:sz w:val="28"/>
          <w:szCs w:val="28"/>
        </w:rPr>
        <w:t>9年度、</w:t>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20年度信息，</w:t>
      </w:r>
      <w:r>
        <w:rPr>
          <w:rFonts w:hint="eastAsia" w:ascii="仿宋_GB2312" w:hAnsi="宋体" w:eastAsia="仿宋_GB2312" w:cs="宋体"/>
          <w:kern w:val="0"/>
          <w:sz w:val="28"/>
          <w:szCs w:val="28"/>
        </w:rPr>
        <w:t>建议</w:t>
      </w:r>
      <w:r>
        <w:rPr>
          <w:rFonts w:ascii="仿宋_GB2312" w:hAnsi="宋体" w:eastAsia="仿宋_GB2312" w:cs="宋体"/>
          <w:kern w:val="0"/>
          <w:sz w:val="28"/>
          <w:szCs w:val="28"/>
        </w:rPr>
        <w:t>300</w:t>
      </w:r>
      <w:r>
        <w:rPr>
          <w:rFonts w:hint="eastAsia" w:ascii="仿宋_GB2312" w:hAnsi="宋体" w:eastAsia="仿宋_GB2312" w:cs="宋体"/>
          <w:kern w:val="0"/>
          <w:sz w:val="28"/>
          <w:szCs w:val="28"/>
        </w:rPr>
        <w:t>字以内，必要时可延展表格或附补充资料。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、表</w:t>
      </w:r>
      <w:r>
        <w:rPr>
          <w:rFonts w:ascii="仿宋_GB2312" w:hAnsi="宋体" w:eastAsia="仿宋_GB2312" w:cs="宋体"/>
          <w:kern w:val="0"/>
          <w:sz w:val="28"/>
          <w:szCs w:val="28"/>
        </w:rPr>
        <w:t>5</w:t>
      </w:r>
      <w:r>
        <w:rPr>
          <w:rFonts w:hint="eastAsia" w:ascii="仿宋_GB2312" w:hAnsi="宋体" w:eastAsia="仿宋_GB2312" w:cs="宋体"/>
          <w:kern w:val="0"/>
          <w:sz w:val="28"/>
          <w:szCs w:val="28"/>
        </w:rPr>
        <w:t>由省（区、市）工业经济联合会（协会）和相关全国性工业行业联合会（协会）填写。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4</w:t>
      </w:r>
      <w:r>
        <w:rPr>
          <w:rFonts w:hint="eastAsia" w:ascii="仿宋_GB2312" w:hAnsi="宋体" w:eastAsia="仿宋_GB2312" w:cs="宋体"/>
          <w:kern w:val="0"/>
          <w:sz w:val="28"/>
          <w:szCs w:val="28"/>
        </w:rPr>
        <w:t>、表</w:t>
      </w:r>
      <w:r>
        <w:rPr>
          <w:rFonts w:ascii="仿宋_GB2312" w:hAnsi="宋体" w:eastAsia="仿宋_GB2312" w:cs="宋体"/>
          <w:kern w:val="0"/>
          <w:sz w:val="28"/>
          <w:szCs w:val="28"/>
        </w:rPr>
        <w:t>6</w:t>
      </w:r>
      <w:r>
        <w:rPr>
          <w:rFonts w:hint="eastAsia" w:ascii="仿宋_GB2312" w:hAnsi="宋体" w:eastAsia="仿宋_GB2312" w:cs="宋体"/>
          <w:kern w:val="0"/>
          <w:sz w:val="28"/>
          <w:szCs w:val="28"/>
        </w:rPr>
        <w:t>由行业评审专家委员会填写。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5</w:t>
      </w:r>
      <w:r>
        <w:rPr>
          <w:rFonts w:hint="eastAsia" w:ascii="仿宋_GB2312" w:hAnsi="宋体" w:eastAsia="仿宋_GB2312" w:cs="宋体"/>
          <w:kern w:val="0"/>
          <w:sz w:val="28"/>
          <w:szCs w:val="28"/>
        </w:rPr>
        <w:t>、表</w:t>
      </w:r>
      <w:r>
        <w:rPr>
          <w:rFonts w:ascii="仿宋_GB2312" w:hAnsi="宋体" w:eastAsia="仿宋_GB2312" w:cs="宋体"/>
          <w:kern w:val="0"/>
          <w:sz w:val="28"/>
          <w:szCs w:val="28"/>
        </w:rPr>
        <w:t>7</w:t>
      </w:r>
      <w:r>
        <w:rPr>
          <w:rFonts w:hint="eastAsia" w:ascii="仿宋_GB2312" w:hAnsi="宋体" w:eastAsia="仿宋_GB2312" w:cs="宋体"/>
          <w:kern w:val="0"/>
          <w:sz w:val="28"/>
          <w:szCs w:val="28"/>
        </w:rPr>
        <w:t>由综合评审专家委员会填写。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6</w:t>
      </w:r>
      <w:r>
        <w:rPr>
          <w:rFonts w:hint="eastAsia" w:ascii="仿宋_GB2312" w:hAnsi="宋体" w:eastAsia="仿宋_GB2312" w:cs="宋体"/>
          <w:kern w:val="0"/>
          <w:sz w:val="28"/>
          <w:szCs w:val="28"/>
        </w:rPr>
        <w:t>、表</w:t>
      </w:r>
      <w:r>
        <w:rPr>
          <w:rFonts w:ascii="仿宋_GB2312" w:hAnsi="宋体" w:eastAsia="仿宋_GB2312" w:cs="宋体"/>
          <w:kern w:val="0"/>
          <w:sz w:val="28"/>
          <w:szCs w:val="28"/>
        </w:rPr>
        <w:t>8</w:t>
      </w:r>
      <w:r>
        <w:rPr>
          <w:rFonts w:hint="eastAsia" w:ascii="仿宋_GB2312" w:hAnsi="宋体" w:eastAsia="仿宋_GB2312" w:cs="宋体"/>
          <w:kern w:val="0"/>
          <w:sz w:val="28"/>
          <w:szCs w:val="28"/>
        </w:rPr>
        <w:t>由中国工业大奖工作委员会填写。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7</w:t>
      </w:r>
      <w:r>
        <w:rPr>
          <w:rFonts w:hint="eastAsia" w:ascii="仿宋_GB2312" w:hAnsi="宋体" w:eastAsia="仿宋_GB2312" w:cs="宋体"/>
          <w:kern w:val="0"/>
          <w:sz w:val="28"/>
          <w:szCs w:val="28"/>
        </w:rPr>
        <w:t>、表</w:t>
      </w:r>
      <w:r>
        <w:rPr>
          <w:rFonts w:ascii="仿宋_GB2312" w:hAnsi="宋体" w:eastAsia="仿宋_GB2312" w:cs="宋体"/>
          <w:kern w:val="0"/>
          <w:sz w:val="28"/>
          <w:szCs w:val="28"/>
        </w:rPr>
        <w:t>9</w:t>
      </w:r>
      <w:r>
        <w:rPr>
          <w:rFonts w:hint="eastAsia" w:ascii="仿宋_GB2312" w:hAnsi="宋体" w:eastAsia="仿宋_GB2312" w:cs="宋体"/>
          <w:kern w:val="0"/>
          <w:sz w:val="28"/>
          <w:szCs w:val="28"/>
        </w:rPr>
        <w:t>由中国工业大奖审定委员会填写。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8</w:t>
      </w:r>
      <w:r>
        <w:rPr>
          <w:rFonts w:hint="eastAsia" w:ascii="仿宋_GB2312" w:hAnsi="宋体" w:eastAsia="仿宋_GB2312" w:cs="宋体"/>
          <w:kern w:val="0"/>
          <w:sz w:val="28"/>
          <w:szCs w:val="28"/>
        </w:rPr>
        <w:t>、申报单位须提供企业法人营业执照、组织机构代码、税务登记证、注册商标证明、财务报表以及反映企业生产发展过程中所取得的其它证明性材料、荣誉证书等复印件。</w:t>
      </w:r>
    </w:p>
    <w:p>
      <w:pPr>
        <w:widowControl/>
        <w:snapToGrid w:val="0"/>
        <w:spacing w:line="360" w:lineRule="auto"/>
        <w:ind w:firstLine="629"/>
        <w:rPr>
          <w:rFonts w:ascii="仿宋_GB2312" w:hAnsi="宋体" w:eastAsia="仿宋_GB2312" w:cs="宋体"/>
          <w:color w:val="000000"/>
          <w:kern w:val="0"/>
          <w:sz w:val="28"/>
          <w:szCs w:val="28"/>
        </w:rPr>
      </w:pPr>
      <w:r>
        <w:rPr>
          <w:rFonts w:ascii="仿宋_GB2312" w:hAnsi="宋体" w:eastAsia="仿宋_GB2312" w:cs="宋体"/>
          <w:kern w:val="0"/>
          <w:sz w:val="28"/>
          <w:szCs w:val="28"/>
        </w:rPr>
        <w:t>10</w:t>
      </w:r>
      <w:r>
        <w:rPr>
          <w:rFonts w:hint="eastAsia" w:ascii="仿宋_GB2312" w:hAnsi="宋体" w:eastAsia="仿宋_GB2312" w:cs="宋体"/>
          <w:kern w:val="0"/>
          <w:sz w:val="28"/>
          <w:szCs w:val="28"/>
        </w:rPr>
        <w:t>、</w:t>
      </w:r>
      <w:r>
        <w:rPr>
          <w:rFonts w:hint="eastAsia" w:ascii="仿宋_GB2312" w:hAnsi="宋体" w:eastAsia="仿宋_GB2312" w:cs="宋体"/>
          <w:color w:val="000000"/>
          <w:kern w:val="0"/>
          <w:sz w:val="28"/>
          <w:szCs w:val="28"/>
        </w:rPr>
        <w:t>申报材料须同时提供纸质版本</w:t>
      </w:r>
      <w:r>
        <w:rPr>
          <w:rFonts w:hint="eastAsia" w:ascii="仿宋_GB2312" w:hAnsi="宋体" w:eastAsia="仿宋_GB2312" w:cs="宋体"/>
          <w:kern w:val="0"/>
          <w:sz w:val="28"/>
          <w:szCs w:val="28"/>
        </w:rPr>
        <w:t>（一式两份，加盖公章）</w:t>
      </w:r>
      <w:r>
        <w:rPr>
          <w:rFonts w:hint="eastAsia" w:ascii="仿宋_GB2312" w:hAnsi="宋体" w:eastAsia="仿宋_GB2312" w:cs="宋体"/>
          <w:color w:val="000000"/>
          <w:kern w:val="0"/>
          <w:sz w:val="28"/>
          <w:szCs w:val="28"/>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11</w:t>
      </w:r>
      <w:r>
        <w:rPr>
          <w:rFonts w:hint="eastAsia" w:ascii="仿宋_GB2312" w:hAnsi="宋体" w:eastAsia="仿宋_GB2312" w:cs="宋体"/>
          <w:kern w:val="0"/>
          <w:sz w:val="28"/>
          <w:szCs w:val="28"/>
        </w:rPr>
        <w:t>、申报材料采用</w:t>
      </w:r>
      <w:r>
        <w:rPr>
          <w:rFonts w:ascii="仿宋_GB2312" w:hAnsi="宋体" w:eastAsia="仿宋_GB2312" w:cs="宋体"/>
          <w:kern w:val="0"/>
          <w:sz w:val="28"/>
          <w:szCs w:val="28"/>
        </w:rPr>
        <w:t>A4</w:t>
      </w:r>
      <w:r>
        <w:rPr>
          <w:rFonts w:hint="eastAsia" w:ascii="仿宋_GB2312" w:hAnsi="宋体" w:eastAsia="仿宋_GB2312" w:cs="宋体"/>
          <w:kern w:val="0"/>
          <w:sz w:val="28"/>
          <w:szCs w:val="28"/>
        </w:rPr>
        <w:t>纸打印，左侧装订，平装</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12</w:t>
      </w:r>
      <w:r>
        <w:rPr>
          <w:rFonts w:hint="eastAsia" w:ascii="仿宋_GB2312" w:hAnsi="宋体" w:eastAsia="仿宋_GB2312" w:cs="宋体"/>
          <w:kern w:val="0"/>
          <w:sz w:val="28"/>
          <w:szCs w:val="28"/>
        </w:rPr>
        <w:t>、申报材料不予更换和退回。</w:t>
      </w:r>
    </w:p>
    <w:p>
      <w:pPr>
        <w:widowControl/>
        <w:spacing w:before="100" w:beforeAutospacing="1" w:after="100" w:afterAutospacing="1" w:line="420" w:lineRule="auto"/>
        <w:jc w:val="left"/>
        <w:rPr>
          <w:rFonts w:ascii="Times New Roman" w:hAnsi="Times New Roman" w:eastAsia="仿宋_GB2312"/>
          <w:b/>
          <w:smallCaps/>
          <w:sz w:val="32"/>
          <w:szCs w:val="20"/>
        </w:rPr>
        <w:sectPr>
          <w:pgSz w:w="12240" w:h="15840"/>
          <w:pgMar w:top="1440" w:right="1800" w:bottom="1440" w:left="1800" w:header="720" w:footer="720" w:gutter="0"/>
          <w:cols w:space="720" w:num="1"/>
        </w:sectPr>
      </w:pPr>
    </w:p>
    <w:p>
      <w:pPr>
        <w:widowControl/>
        <w:snapToGrid w:val="0"/>
        <w:jc w:val="left"/>
        <w:rPr>
          <w:rFonts w:ascii="仿宋_GB2312" w:hAnsi="Arial" w:eastAsia="仿宋_GB2312" w:cs="Arial"/>
          <w:b/>
          <w:bCs/>
          <w:color w:val="000000" w:themeColor="text1"/>
          <w:kern w:val="0"/>
          <w:sz w:val="36"/>
          <w14:textFill>
            <w14:solidFill>
              <w14:schemeClr w14:val="tx1"/>
            </w14:solidFill>
          </w14:textFill>
        </w:rPr>
      </w:pPr>
      <w:r>
        <w:rPr>
          <w:rFonts w:hint="eastAsia" w:ascii="仿宋_GB2312" w:hAnsi="Arial" w:eastAsia="仿宋_GB2312" w:cs="Arial"/>
          <w:b/>
          <w:bCs/>
          <w:color w:val="000000" w:themeColor="text1"/>
          <w:kern w:val="0"/>
          <w:sz w:val="36"/>
          <w14:textFill>
            <w14:solidFill>
              <w14:schemeClr w14:val="tx1"/>
            </w14:solidFill>
          </w14:textFill>
        </w:rPr>
        <w:t>表</w:t>
      </w:r>
      <w:r>
        <w:rPr>
          <w:rFonts w:ascii="Times New Roman" w:hAnsi="Times New Roman"/>
          <w:b/>
          <w:bCs/>
          <w:color w:val="000000" w:themeColor="text1"/>
          <w:kern w:val="0"/>
          <w:sz w:val="36"/>
          <w:szCs w:val="24"/>
          <w14:textFill>
            <w14:solidFill>
              <w14:schemeClr w14:val="tx1"/>
            </w14:solidFill>
          </w14:textFill>
        </w:rPr>
        <w:t>1</w:t>
      </w:r>
      <w:r>
        <w:rPr>
          <w:rFonts w:ascii="仿宋_GB2312" w:hAnsi="Arial" w:eastAsia="仿宋_GB2312" w:cs="Arial"/>
          <w:b/>
          <w:bCs/>
          <w:color w:val="000000" w:themeColor="text1"/>
          <w:kern w:val="0"/>
          <w:sz w:val="36"/>
          <w14:textFill>
            <w14:solidFill>
              <w14:schemeClr w14:val="tx1"/>
            </w14:solidFill>
          </w14:textFill>
        </w:rPr>
        <w:t xml:space="preserve">  </w:t>
      </w:r>
      <w:r>
        <w:rPr>
          <w:rFonts w:hint="eastAsia" w:ascii="仿宋_GB2312" w:hAnsi="Arial" w:eastAsia="仿宋_GB2312" w:cs="Arial"/>
          <w:b/>
          <w:bCs/>
          <w:color w:val="000000" w:themeColor="text1"/>
          <w:kern w:val="0"/>
          <w:sz w:val="36"/>
          <w14:textFill>
            <w14:solidFill>
              <w14:schemeClr w14:val="tx1"/>
            </w14:solidFill>
          </w14:textFill>
        </w:rPr>
        <w:t>项目申报单位基本情况</w:t>
      </w:r>
    </w:p>
    <w:tbl>
      <w:tblPr>
        <w:tblStyle w:val="8"/>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9"/>
        <w:gridCol w:w="1801"/>
        <w:gridCol w:w="1655"/>
        <w:gridCol w:w="149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53" w:type="pct"/>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企业名称</w:t>
            </w:r>
          </w:p>
        </w:tc>
        <w:tc>
          <w:tcPr>
            <w:tcW w:w="4147" w:type="pct"/>
            <w:gridSpan w:val="5"/>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成立时间</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总经理</w:t>
            </w:r>
            <w:r>
              <w:rPr>
                <w:rFonts w:ascii="Times New Roman" w:hAnsi="Times New Roman" w:eastAsia="仿宋_GB2312"/>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0"/>
                <w:szCs w:val="30"/>
                <w14:textFill>
                  <w14:solidFill>
                    <w14:schemeClr w14:val="tx1"/>
                  </w14:solidFill>
                </w14:textFill>
              </w:rPr>
              <w:t>总裁</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法人代表</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职工人数</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所属行业</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注册资本</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固定资产</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（净值）</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上市股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种类</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中资控股比例</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pct"/>
            <w:vAlign w:val="center"/>
          </w:tcPr>
          <w:p>
            <w:pPr>
              <w:widowControl/>
              <w:spacing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企业性质</w:t>
            </w:r>
          </w:p>
        </w:tc>
        <w:tc>
          <w:tcPr>
            <w:tcW w:w="4147" w:type="pct"/>
            <w:gridSpan w:val="5"/>
            <w:vAlign w:val="center"/>
          </w:tcPr>
          <w:p>
            <w:pPr>
              <w:widowControl/>
              <w:spacing w:before="156" w:after="156" w:line="400" w:lineRule="exact"/>
              <w:ind w:left="210" w:hanging="210" w:hangingChars="100"/>
              <w:jc w:val="left"/>
              <w:rPr>
                <w:rFonts w:ascii="宋体" w:hAnsi="宋体"/>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国有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集体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私营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股份制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有限合伙</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联营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外商投资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个人独资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574" w:type="pct"/>
            <w:gridSpan w:val="2"/>
            <w:vAlign w:val="center"/>
          </w:tcPr>
          <w:p>
            <w:pPr>
              <w:widowControl/>
              <w:spacing w:before="156" w:after="156" w:line="4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股东名称及持股</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比例（前三名）</w:t>
            </w:r>
          </w:p>
        </w:tc>
        <w:tc>
          <w:tcPr>
            <w:tcW w:w="3426" w:type="pct"/>
            <w:gridSpan w:val="4"/>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联</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系</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人</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务</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电话</w:t>
            </w:r>
            <w:r>
              <w:rPr>
                <w:rFonts w:ascii="宋体" w:cs="宋体"/>
                <w:color w:val="000000" w:themeColor="text1"/>
                <w:kern w:val="0"/>
                <w:sz w:val="24"/>
                <w:szCs w:val="24"/>
                <w14:textFill>
                  <w14:solidFill>
                    <w14:schemeClr w14:val="tx1"/>
                  </w14:solidFill>
                </w14:textFill>
              </w:rPr>
              <w:t xml:space="preserve"> </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传真</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手机</w:t>
            </w:r>
          </w:p>
        </w:tc>
        <w:tc>
          <w:tcPr>
            <w:tcW w:w="1713"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14:textFill>
                  <w14:solidFill>
                    <w14:schemeClr w14:val="tx1"/>
                  </w14:solidFill>
                </w14:textFill>
              </w:rPr>
            </w:pPr>
          </w:p>
        </w:tc>
        <w:tc>
          <w:tcPr>
            <w:tcW w:w="912" w:type="pct"/>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微信号</w:t>
            </w:r>
          </w:p>
        </w:tc>
        <w:tc>
          <w:tcPr>
            <w:tcW w:w="1522"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网</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站</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电子信箱</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853" w:type="pct"/>
            <w:vAlign w:val="center"/>
          </w:tcPr>
          <w:p>
            <w:pPr>
              <w:widowControl/>
              <w:spacing w:before="156" w:after="156" w:line="212" w:lineRule="atLeas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办公地址</w:t>
            </w:r>
          </w:p>
        </w:tc>
        <w:tc>
          <w:tcPr>
            <w:tcW w:w="2625" w:type="pct"/>
            <w:gridSpan w:val="3"/>
            <w:vAlign w:val="center"/>
          </w:tcPr>
          <w:p>
            <w:pPr>
              <w:widowControl/>
              <w:spacing w:before="156" w:after="156" w:line="212" w:lineRule="atLeast"/>
              <w:ind w:right="-288" w:rightChars="-137"/>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212" w:lineRule="atLeast"/>
              <w:ind w:right="-48" w:rightChars="-23"/>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邮政编码</w:t>
            </w:r>
          </w:p>
        </w:tc>
        <w:tc>
          <w:tcPr>
            <w:tcW w:w="701" w:type="pct"/>
            <w:vAlign w:val="center"/>
          </w:tcPr>
          <w:p>
            <w:pPr>
              <w:widowControl/>
              <w:spacing w:before="156" w:after="156" w:line="212" w:lineRule="atLeas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000" w:type="pct"/>
            <w:gridSpan w:val="6"/>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jc w:val="left"/>
        <w:rPr>
          <w:rFonts w:ascii="仿宋_GB2312" w:hAnsi="Times New Roman" w:eastAsia="仿宋_GB2312"/>
          <w:b/>
          <w:smallCaps/>
          <w:color w:val="000000" w:themeColor="text1"/>
          <w:sz w:val="32"/>
          <w:szCs w:val="20"/>
          <w14:textFill>
            <w14:solidFill>
              <w14:schemeClr w14:val="tx1"/>
            </w14:solidFill>
          </w14:textFill>
        </w:rPr>
        <w:sectPr>
          <w:footerReference r:id="rId4" w:type="default"/>
          <w:pgSz w:w="12240" w:h="15840"/>
          <w:pgMar w:top="1440" w:right="1800" w:bottom="1440" w:left="1800" w:header="720" w:footer="720" w:gutter="0"/>
          <w:pgNumType w:start="1"/>
          <w:cols w:space="720" w:num="1"/>
        </w:sectPr>
      </w:pPr>
    </w:p>
    <w:p>
      <w:pPr>
        <w:widowControl/>
        <w:snapToGrid w:val="0"/>
        <w:jc w:val="left"/>
        <w:rPr>
          <w:rFonts w:ascii="Arial" w:hAnsi="Arial" w:cs="Arial"/>
          <w:color w:val="000000" w:themeColor="text1"/>
          <w:kern w:val="0"/>
          <w:sz w:val="18"/>
          <w:szCs w:val="18"/>
          <w14:textFill>
            <w14:solidFill>
              <w14:schemeClr w14:val="tx1"/>
            </w14:solidFill>
          </w14:textFill>
        </w:rPr>
      </w:pPr>
      <w:r>
        <w:rPr>
          <w:rFonts w:hint="eastAsia" w:ascii="仿宋_GB2312" w:hAnsi="Arial" w:eastAsia="仿宋_GB2312" w:cs="Arial"/>
          <w:b/>
          <w:bCs/>
          <w:color w:val="000000" w:themeColor="text1"/>
          <w:kern w:val="0"/>
          <w:sz w:val="36"/>
          <w14:textFill>
            <w14:solidFill>
              <w14:schemeClr w14:val="tx1"/>
            </w14:solidFill>
          </w14:textFill>
        </w:rPr>
        <w:t>表</w:t>
      </w:r>
      <w:r>
        <w:rPr>
          <w:rFonts w:ascii="Times New Roman" w:hAnsi="Times New Roman"/>
          <w:b/>
          <w:bCs/>
          <w:color w:val="000000" w:themeColor="text1"/>
          <w:kern w:val="0"/>
          <w:sz w:val="36"/>
          <w:szCs w:val="24"/>
          <w14:textFill>
            <w14:solidFill>
              <w14:schemeClr w14:val="tx1"/>
            </w14:solidFill>
          </w14:textFill>
        </w:rPr>
        <w:t>2</w:t>
      </w:r>
      <w:r>
        <w:rPr>
          <w:rFonts w:ascii="仿宋_GB2312" w:hAnsi="Arial" w:eastAsia="仿宋_GB2312" w:cs="Arial"/>
          <w:b/>
          <w:bCs/>
          <w:color w:val="000000" w:themeColor="text1"/>
          <w:kern w:val="0"/>
          <w:sz w:val="36"/>
          <w14:textFill>
            <w14:solidFill>
              <w14:schemeClr w14:val="tx1"/>
            </w14:solidFill>
          </w14:textFill>
        </w:rPr>
        <w:t xml:space="preserve">  </w:t>
      </w:r>
      <w:r>
        <w:rPr>
          <w:rFonts w:hint="eastAsia" w:ascii="仿宋_GB2312" w:hAnsi="Arial" w:eastAsia="仿宋_GB2312" w:cs="Arial"/>
          <w:b/>
          <w:bCs/>
          <w:color w:val="000000" w:themeColor="text1"/>
          <w:kern w:val="0"/>
          <w:sz w:val="36"/>
          <w14:textFill>
            <w14:solidFill>
              <w14:schemeClr w14:val="tx1"/>
            </w14:solidFill>
          </w14:textFill>
        </w:rPr>
        <w:t>项目基本情况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506"/>
        <w:gridCol w:w="200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41" w:type="pct"/>
            <w:vAlign w:val="center"/>
          </w:tcPr>
          <w:p>
            <w:pPr>
              <w:widowControl/>
              <w:spacing w:before="156" w:after="156" w:line="36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30"/>
                <w14:textFill>
                  <w14:solidFill>
                    <w14:schemeClr w14:val="tx1"/>
                  </w14:solidFill>
                </w14:textFill>
              </w:rPr>
              <w:t>项目名称</w:t>
            </w:r>
          </w:p>
        </w:tc>
        <w:tc>
          <w:tcPr>
            <w:tcW w:w="3959" w:type="pct"/>
            <w:gridSpan w:val="3"/>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技术领域</w:t>
            </w:r>
          </w:p>
        </w:tc>
        <w:tc>
          <w:tcPr>
            <w:tcW w:w="3959" w:type="pct"/>
            <w:gridSpan w:val="3"/>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□电子信息</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□国防工业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□先进制造</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□生物、医药和医疗器械</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□新材料及其应用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□环境保护与资源综合利用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□核应用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□现代交通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□城市建设与社会发展</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□其他领域技术</w:t>
            </w:r>
            <w:r>
              <w:rPr>
                <w:rFonts w:ascii="Times New Roman" w:hAnsi="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行业领域</w:t>
            </w:r>
          </w:p>
        </w:tc>
        <w:tc>
          <w:tcPr>
            <w:tcW w:w="3959" w:type="pct"/>
            <w:gridSpan w:val="3"/>
            <w:vAlign w:val="center"/>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□采矿业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□制造业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□电力、燃气及水的生产和供应业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□信息产业</w:t>
            </w:r>
          </w:p>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□其他领域</w:t>
            </w:r>
            <w:r>
              <w:rPr>
                <w:rFonts w:ascii="Times New Roman" w:hAnsi="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投产日期</w:t>
            </w:r>
          </w:p>
        </w:tc>
        <w:tc>
          <w:tcPr>
            <w:tcW w:w="1415"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c>
          <w:tcPr>
            <w:tcW w:w="1134"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项目总投入</w:t>
            </w:r>
          </w:p>
        </w:tc>
        <w:tc>
          <w:tcPr>
            <w:tcW w:w="141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5" w:hRule="atLeast"/>
          <w:jc w:val="center"/>
        </w:trPr>
        <w:tc>
          <w:tcPr>
            <w:tcW w:w="5000" w:type="pct"/>
            <w:gridSpan w:val="4"/>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bl>
    <w:p>
      <w:pPr>
        <w:widowControl/>
        <w:spacing w:before="100" w:beforeAutospacing="1" w:after="100" w:afterAutospacing="1"/>
        <w:jc w:val="left"/>
        <w:rPr>
          <w:rFonts w:ascii="Times New Roman" w:hAns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3-1 </w:t>
      </w:r>
      <w:r>
        <w:rPr>
          <w:rFonts w:ascii="Times New Roman" w:hAnsi="Times New Roman" w:eastAsia="仿宋_GB2312"/>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考评项目：科技水平</w:t>
      </w:r>
    </w:p>
    <w:tbl>
      <w:tblPr>
        <w:tblStyle w:val="8"/>
        <w:tblW w:w="5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921"/>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379"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技</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平</w:t>
            </w:r>
          </w:p>
        </w:tc>
        <w:tc>
          <w:tcPr>
            <w:tcW w:w="2165"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456"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运用自主知识产权的核心技术及主持或参与执行国家、国际标准</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突破关键核心技术，特别是“卡脖子”问题及填补国内外同行业领域空白</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信息化、工业化融合及智能制造水平</w:t>
            </w:r>
            <w:r>
              <w:rPr>
                <w:rFonts w:hint="eastAsia" w:ascii="Times New Roman" w:hAnsi="宋体" w:eastAsia="仿宋_GB2312" w:cs="宋体"/>
                <w:color w:val="000000" w:themeColor="text1"/>
                <w:kern w:val="0"/>
                <w:sz w:val="30"/>
                <w:szCs w:val="30"/>
                <w14:textFill>
                  <w14:solidFill>
                    <w14:schemeClr w14:val="tx1"/>
                  </w14:solidFill>
                </w14:textFill>
              </w:rPr>
              <w:t>的应用</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14:textFill>
                  <w14:solidFill>
                    <w14:schemeClr w14:val="tx1"/>
                  </w14:solidFill>
                </w14:textFill>
              </w:rPr>
              <w:t>外竞争实力</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工艺技术及装备、技术经济指标的先进程度</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推动转型升级提升行业整体水平程度</w:t>
            </w:r>
          </w:p>
        </w:tc>
        <w:tc>
          <w:tcPr>
            <w:tcW w:w="2456" w:type="pct"/>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已获哪种类型的专利及数量</w:t>
            </w:r>
          </w:p>
        </w:tc>
        <w:tc>
          <w:tcPr>
            <w:tcW w:w="2456"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已获国家级奖项</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项目成果转化及应用推广程度</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3-2</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w:t>
      </w:r>
      <w:r>
        <w:rPr>
          <w:rFonts w:hint="eastAsia" w:ascii="宋体" w:hAnsi="宋体" w:cs="宋体"/>
          <w:b/>
          <w:bCs/>
          <w:color w:val="000000" w:themeColor="text1"/>
          <w:kern w:val="0"/>
          <w:sz w:val="32"/>
          <w:szCs w:val="24"/>
          <w14:textFill>
            <w14:solidFill>
              <w14:schemeClr w14:val="tx1"/>
            </w14:solidFill>
          </w14:textFill>
        </w:rPr>
        <w:t>：经济与社会效益</w:t>
      </w:r>
    </w:p>
    <w:tbl>
      <w:tblPr>
        <w:tblStyle w:val="8"/>
        <w:tblW w:w="52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4184"/>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381"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经</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济</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与</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社</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会</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效</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益</w:t>
            </w:r>
          </w:p>
        </w:tc>
        <w:tc>
          <w:tcPr>
            <w:tcW w:w="2241"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总资产贡献率（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资产负债率（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年）</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销售利润率（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净资产收益率（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主营业务税金及附加</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实现利润</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出口额及增长率（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产品的国内外市场占有率（%）</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对经济与社会效益的影响</w:t>
            </w:r>
          </w:p>
        </w:tc>
        <w:tc>
          <w:tcPr>
            <w:tcW w:w="2378"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3-3</w:t>
      </w:r>
      <w:r>
        <w:rPr>
          <w:rFonts w:ascii="宋体" w:hAnsi="宋体" w:cs="宋体"/>
          <w:b/>
          <w:bCs/>
          <w:color w:val="000000" w:themeColor="text1"/>
          <w:kern w:val="0"/>
          <w:sz w:val="32"/>
          <w:szCs w:val="24"/>
          <w14:textFill>
            <w14:solidFill>
              <w14:schemeClr w14:val="tx1"/>
            </w14:solidFill>
          </w14:textFill>
        </w:rPr>
        <w:t xml:space="preserve">  </w:t>
      </w:r>
      <w:r>
        <w:rPr>
          <w:rFonts w:hint="eastAsia" w:ascii="宋体" w:hAnsi="宋体" w:cs="宋体"/>
          <w:b/>
          <w:bCs/>
          <w:color w:val="000000" w:themeColor="text1"/>
          <w:kern w:val="0"/>
          <w:sz w:val="32"/>
          <w:szCs w:val="24"/>
          <w14:textFill>
            <w14:solidFill>
              <w14:schemeClr w14:val="tx1"/>
            </w14:solidFill>
          </w14:textFill>
        </w:rPr>
        <w:t>考评项目：质量水平</w:t>
      </w:r>
    </w:p>
    <w:tbl>
      <w:tblPr>
        <w:tblStyle w:val="8"/>
        <w:tblW w:w="50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3701"/>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4"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质</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量</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水</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平</w:t>
            </w:r>
          </w:p>
        </w:tc>
        <w:tc>
          <w:tcPr>
            <w:tcW w:w="2073"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省级（含）以上质检部门抽查产品合格率（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44"/>
                <w:szCs w:val="44"/>
                <w:vertAlign w:val="superscript"/>
                <w14:textFill>
                  <w14:solidFill>
                    <w14:schemeClr w14:val="tx1"/>
                  </w14:solidFill>
                </w14:textFill>
              </w:rPr>
              <w:t>＊</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质量保证和服务体系</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已获质量认证</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已获国家级荣誉</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采用的质量管理和标准体系</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是否为制造业单项冠军、冠军产品（具体批次）</w:t>
            </w:r>
          </w:p>
        </w:tc>
        <w:tc>
          <w:tcPr>
            <w:tcW w:w="2493" w:type="pct"/>
          </w:tcPr>
          <w:p>
            <w:pPr>
              <w:widowControl/>
              <w:spacing w:before="100" w:beforeAutospacing="1" w:after="100" w:afterAutospacing="1" w:line="60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注：带有＊项需提供相应单位证明材料。</w:t>
      </w:r>
    </w:p>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3-4</w:t>
      </w:r>
      <w:r>
        <w:rPr>
          <w:rFonts w:ascii="宋体" w:hAnsi="宋体" w:cs="宋体"/>
          <w:b/>
          <w:bCs/>
          <w:color w:val="000000" w:themeColor="text1"/>
          <w:kern w:val="0"/>
          <w:sz w:val="32"/>
          <w:szCs w:val="24"/>
          <w14:textFill>
            <w14:solidFill>
              <w14:schemeClr w14:val="tx1"/>
            </w14:solidFill>
          </w14:textFill>
        </w:rPr>
        <w:t xml:space="preserve">  </w:t>
      </w:r>
      <w:r>
        <w:rPr>
          <w:rFonts w:hint="eastAsia" w:ascii="宋体" w:hAnsi="宋体" w:cs="宋体"/>
          <w:b/>
          <w:bCs/>
          <w:color w:val="000000" w:themeColor="text1"/>
          <w:kern w:val="0"/>
          <w:sz w:val="32"/>
          <w:szCs w:val="24"/>
          <w14:textFill>
            <w14:solidFill>
              <w14:schemeClr w14:val="tx1"/>
            </w14:solidFill>
          </w14:textFill>
        </w:rPr>
        <w:t>考评项目：安全性能</w:t>
      </w:r>
    </w:p>
    <w:tbl>
      <w:tblPr>
        <w:tblStyle w:val="8"/>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367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440"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安</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全</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性</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能</w:t>
            </w:r>
          </w:p>
        </w:tc>
        <w:tc>
          <w:tcPr>
            <w:tcW w:w="2067"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涉及安全的技术改造投入及占总资产的比率（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安全生产管理体系建设</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主要安全业绩指标水平</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应急管理体系建设</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通过认证及时间</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已获荣誉及奖项</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5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近两年是否发生较大及以上生产安全责任事故</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b/>
          <w:bCs/>
          <w:color w:val="000000" w:themeColor="text1"/>
          <w:kern w:val="0"/>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3-5</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w:t>
      </w:r>
      <w:r>
        <w:rPr>
          <w:rFonts w:hint="eastAsia" w:ascii="宋体" w:hAnsi="宋体" w:cs="宋体"/>
          <w:b/>
          <w:bCs/>
          <w:color w:val="000000" w:themeColor="text1"/>
          <w:kern w:val="0"/>
          <w:sz w:val="32"/>
          <w:szCs w:val="24"/>
          <w14:textFill>
            <w14:solidFill>
              <w14:schemeClr w14:val="tx1"/>
            </w14:solidFill>
          </w14:textFill>
        </w:rPr>
        <w:t>：资源环境</w:t>
      </w:r>
    </w:p>
    <w:tbl>
      <w:tblPr>
        <w:tblStyle w:val="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4050"/>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15" w:type="pct"/>
            <w:vMerge w:val="restart"/>
            <w:vAlign w:val="center"/>
          </w:tcPr>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资</w:t>
            </w:r>
          </w:p>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源</w:t>
            </w:r>
          </w:p>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环</w:t>
            </w:r>
          </w:p>
          <w:p>
            <w:pPr>
              <w:widowControl/>
              <w:spacing w:before="100" w:beforeAutospacing="1" w:after="100" w:afterAutospacing="1"/>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境</w:t>
            </w:r>
          </w:p>
        </w:tc>
        <w:tc>
          <w:tcPr>
            <w:tcW w:w="2291"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292"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模范遵守环境保护法律法规</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jc w:val="left"/>
              <w:rPr>
                <w:rFonts w:ascii="Arial" w:hAnsi="Arial" w:cs="Arial"/>
                <w:color w:val="000000" w:themeColor="text1"/>
                <w:kern w:val="0"/>
                <w:sz w:val="18"/>
                <w:szCs w:val="18"/>
                <w14:textFill>
                  <w14:solidFill>
                    <w14:schemeClr w14:val="tx1"/>
                  </w14:solidFill>
                </w14:textFill>
              </w:rPr>
            </w:pPr>
            <w:r>
              <w:rPr>
                <w:rFonts w:hint="eastAsia" w:ascii="仿宋_GB2312" w:hAnsi="Times New Roman" w:eastAsia="仿宋_GB2312"/>
                <w:color w:val="000000" w:themeColor="text1"/>
                <w:kern w:val="0"/>
                <w:sz w:val="30"/>
                <w:szCs w:val="30"/>
                <w14:textFill>
                  <w14:solidFill>
                    <w14:schemeClr w14:val="tx1"/>
                  </w14:solidFill>
                </w14:textFill>
              </w:rPr>
              <w:t>各类污染物稳定达标排放且满足总量控制要求</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jc w:val="left"/>
              <w:rPr>
                <w:rFonts w:ascii="仿宋_GB2312" w:hAnsi="Times New Roman"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能耗水平达国际先进或国内领先水平</w:t>
            </w:r>
          </w:p>
        </w:tc>
        <w:tc>
          <w:tcPr>
            <w:tcW w:w="2292" w:type="pct"/>
            <w:vAlign w:val="center"/>
          </w:tcPr>
          <w:p>
            <w:pPr>
              <w:widowControl/>
              <w:spacing w:line="600" w:lineRule="exact"/>
              <w:jc w:val="left"/>
              <w:rPr>
                <w:rFonts w:ascii="仿宋_GB2312" w:hAnsi="宋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30"/>
                <w:szCs w:val="30"/>
                <w14:textFill>
                  <w14:solidFill>
                    <w14:schemeClr w14:val="tx1"/>
                  </w14:solidFill>
                </w14:textFill>
              </w:rPr>
              <w:t>排污指标达到国内同行业领先、国际先进水平</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rPr>
                <w:rFonts w:ascii="仿宋_GB2312"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污染物防治措施及技术（着重阐述项目实施过程中是否能够兼顾温室气体排放，技术工艺的进步是否对节能减排起到了积极的成效，并说明在节能减排方面实施的具体方法，根据相关标准和规范估算上述措施对碳排放的作用）</w:t>
            </w:r>
          </w:p>
        </w:tc>
        <w:tc>
          <w:tcPr>
            <w:tcW w:w="2292" w:type="pct"/>
            <w:vAlign w:val="center"/>
          </w:tcPr>
          <w:p>
            <w:pPr>
              <w:widowControl/>
              <w:spacing w:line="600" w:lineRule="exact"/>
              <w:jc w:val="left"/>
              <w:rPr>
                <w:rFonts w:ascii="仿宋_GB2312" w:hAnsi="宋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是否荣获环保部门环境保护友好企业称号</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环境污染防治投入</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环境污染预防预案</w:t>
            </w:r>
          </w:p>
        </w:tc>
        <w:tc>
          <w:tcPr>
            <w:tcW w:w="229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已获国家级奖项</w:t>
            </w:r>
          </w:p>
        </w:tc>
        <w:tc>
          <w:tcPr>
            <w:tcW w:w="2292" w:type="pct"/>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9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近两年内是否受到环保部门行政处罚</w:t>
            </w:r>
          </w:p>
        </w:tc>
        <w:tc>
          <w:tcPr>
            <w:tcW w:w="2292" w:type="pct"/>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4</w:t>
      </w:r>
      <w:r>
        <w:rPr>
          <w:rFonts w:ascii="宋体" w:hAnsi="宋体" w:cs="宋体"/>
          <w:b/>
          <w:bCs/>
          <w:color w:val="000000" w:themeColor="text1"/>
          <w:kern w:val="0"/>
          <w:sz w:val="32"/>
          <w:szCs w:val="24"/>
          <w14:textFill>
            <w14:solidFill>
              <w14:schemeClr w14:val="tx1"/>
            </w14:solidFill>
          </w14:textFill>
        </w:rPr>
        <w:t xml:space="preserve">  </w:t>
      </w:r>
      <w:r>
        <w:rPr>
          <w:rFonts w:hint="eastAsia" w:ascii="宋体" w:hAnsi="宋体" w:cs="宋体"/>
          <w:b/>
          <w:bCs/>
          <w:color w:val="000000" w:themeColor="text1"/>
          <w:kern w:val="0"/>
          <w:sz w:val="32"/>
          <w:szCs w:val="24"/>
          <w14:textFill>
            <w14:solidFill>
              <w14:schemeClr w14:val="tx1"/>
            </w14:solidFill>
          </w14:textFill>
        </w:rPr>
        <w:t>项目综合报告</w:t>
      </w:r>
      <w:r>
        <w:rPr>
          <w:rFonts w:hint="eastAsia" w:ascii="宋体" w:hAnsi="宋体" w:cs="宋体"/>
          <w:color w:val="000000" w:themeColor="text1"/>
          <w:kern w:val="0"/>
          <w:sz w:val="32"/>
          <w:szCs w:val="24"/>
          <w14:textFill>
            <w14:solidFill>
              <w14:schemeClr w14:val="tx1"/>
            </w14:solidFill>
          </w14:textFill>
        </w:rPr>
        <w:t>（文字另附）</w:t>
      </w:r>
    </w:p>
    <w:tbl>
      <w:tblPr>
        <w:tblStyle w:val="8"/>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0"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报告内容：</w:t>
            </w:r>
            <w:r>
              <w:rPr>
                <w:rFonts w:hint="eastAsia" w:ascii="仿宋_GB2312" w:hAnsi="宋体" w:eastAsia="仿宋_GB2312" w:cs="宋体"/>
                <w:color w:val="000000" w:themeColor="text1"/>
                <w:kern w:val="0"/>
                <w:sz w:val="30"/>
                <w:szCs w:val="30"/>
                <w14:textFill>
                  <w14:solidFill>
                    <w14:schemeClr w14:val="tx1"/>
                  </w14:solidFill>
                </w14:textFill>
              </w:rPr>
              <w:t>（限</w:t>
            </w:r>
            <w:r>
              <w:rPr>
                <w:rFonts w:ascii="Times New Roman" w:hAnsi="Times New Roman" w:eastAsia="仿宋_GB2312"/>
                <w:color w:val="000000" w:themeColor="text1"/>
                <w:kern w:val="0"/>
                <w:sz w:val="30"/>
                <w:szCs w:val="30"/>
                <w14:textFill>
                  <w14:solidFill>
                    <w14:schemeClr w14:val="tx1"/>
                  </w14:solidFill>
                </w14:textFill>
              </w:rPr>
              <w:t>1</w:t>
            </w:r>
            <w:r>
              <w:rPr>
                <w:rFonts w:hint="eastAsia" w:ascii="Times New Roman" w:hAnsi="宋体" w:eastAsia="仿宋_GB2312" w:cs="宋体"/>
                <w:color w:val="000000" w:themeColor="text1"/>
                <w:kern w:val="0"/>
                <w:sz w:val="30"/>
                <w:szCs w:val="30"/>
                <w14:textFill>
                  <w14:solidFill>
                    <w14:schemeClr w14:val="tx1"/>
                  </w14:solidFill>
                </w14:textFill>
              </w:rPr>
              <w:t>万</w:t>
            </w:r>
            <w:r>
              <w:rPr>
                <w:rFonts w:hint="eastAsia" w:ascii="仿宋_GB2312" w:hAnsi="宋体" w:eastAsia="仿宋_GB2312" w:cs="宋体"/>
                <w:color w:val="000000" w:themeColor="text1"/>
                <w:kern w:val="0"/>
                <w:sz w:val="30"/>
                <w:szCs w:val="30"/>
                <w14:textFill>
                  <w14:solidFill>
                    <w14:schemeClr w14:val="tx1"/>
                  </w14:solidFill>
                </w14:textFill>
              </w:rPr>
              <w:t>字以内）</w:t>
            </w:r>
          </w:p>
          <w:p>
            <w:pPr>
              <w:widowControl/>
              <w:spacing w:line="50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一、项目承担单位概况。</w:t>
            </w:r>
          </w:p>
          <w:p>
            <w:pPr>
              <w:widowControl/>
              <w:spacing w:line="50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二、项目承担单位组织结构图。</w:t>
            </w:r>
          </w:p>
          <w:p>
            <w:pPr>
              <w:widowControl/>
              <w:spacing w:line="500" w:lineRule="exact"/>
              <w:ind w:firstLine="600" w:firstLineChars="200"/>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三、</w:t>
            </w:r>
            <w:r>
              <w:rPr>
                <w:rFonts w:hint="eastAsia" w:ascii="Times New Roman" w:hAnsi="宋体" w:eastAsia="仿宋_GB2312" w:cs="宋体"/>
                <w:color w:val="000000" w:themeColor="text1"/>
                <w:kern w:val="0"/>
                <w:sz w:val="30"/>
                <w:szCs w:val="30"/>
                <w14:textFill>
                  <w14:solidFill>
                    <w14:schemeClr w14:val="tx1"/>
                  </w14:solidFill>
                </w14:textFill>
              </w:rPr>
              <w:t>简述项目</w:t>
            </w:r>
            <w:r>
              <w:rPr>
                <w:rFonts w:hint="eastAsia" w:ascii="仿宋_GB2312" w:hAnsi="宋体" w:eastAsia="仿宋_GB2312" w:cs="宋体"/>
                <w:color w:val="000000" w:themeColor="text1"/>
                <w:kern w:val="0"/>
                <w:sz w:val="30"/>
                <w:szCs w:val="30"/>
                <w14:textFill>
                  <w14:solidFill>
                    <w14:schemeClr w14:val="tx1"/>
                  </w14:solidFill>
                </w14:textFill>
              </w:rPr>
              <w:t>在填补国内空白方面的情况和项目产品国内外市场占有率情况。</w:t>
            </w:r>
          </w:p>
          <w:p>
            <w:pPr>
              <w:widowControl/>
              <w:spacing w:line="50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四、技术创新突出，在关键领域取得重大突破，拥有关键核心技术和自主知识产权，在解决“卡脖子”和瓶颈问题等方面取得突破和创新成果。</w:t>
            </w:r>
          </w:p>
          <w:p>
            <w:pPr>
              <w:widowControl/>
              <w:spacing w:line="50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五、显著提升行业整体水平，对增强综合国力、促进国民经济和社会发展做出重大贡献，对行业发展具有引领、示范和带动作用。</w:t>
            </w:r>
          </w:p>
          <w:p>
            <w:pPr>
              <w:widowControl/>
              <w:adjustRightInd w:val="0"/>
              <w:snapToGrid w:val="0"/>
              <w:spacing w:line="50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六、</w:t>
            </w:r>
            <w:r>
              <w:rPr>
                <w:rFonts w:hint="eastAsia" w:ascii="Times New Roman" w:hAnsi="宋体" w:eastAsia="仿宋_GB2312" w:cs="宋体"/>
                <w:color w:val="000000" w:themeColor="text1"/>
                <w:kern w:val="0"/>
                <w:sz w:val="30"/>
                <w:szCs w:val="30"/>
                <w14:textFill>
                  <w14:solidFill>
                    <w14:schemeClr w14:val="tx1"/>
                  </w14:solidFill>
                </w14:textFill>
              </w:rPr>
              <w:t>加强信息化建设、</w:t>
            </w:r>
            <w:r>
              <w:rPr>
                <w:rFonts w:hint="eastAsia" w:ascii="仿宋_GB2312" w:hAnsi="仿宋" w:eastAsia="仿宋_GB2312"/>
                <w:color w:val="000000" w:themeColor="text1"/>
                <w:sz w:val="30"/>
                <w:szCs w:val="30"/>
                <w14:textFill>
                  <w14:solidFill>
                    <w14:schemeClr w14:val="tx1"/>
                  </w14:solidFill>
                </w14:textFill>
              </w:rPr>
              <w:t>贯彻实施两化融合</w:t>
            </w:r>
            <w:r>
              <w:rPr>
                <w:rFonts w:hint="eastAsia" w:ascii="Times New Roman"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项目实施过程中数字化转型升级及</w:t>
            </w:r>
            <w:r>
              <w:rPr>
                <w:rFonts w:hint="eastAsia" w:ascii="Times New Roman" w:hAnsi="宋体" w:eastAsia="仿宋_GB2312" w:cs="宋体"/>
                <w:color w:val="000000" w:themeColor="text1"/>
                <w:kern w:val="0"/>
                <w:sz w:val="30"/>
                <w:szCs w:val="30"/>
                <w14:textFill>
                  <w14:solidFill>
                    <w14:schemeClr w14:val="tx1"/>
                  </w14:solidFill>
                </w14:textFill>
              </w:rPr>
              <w:t>互联网、物联网、大数据应用情况。</w:t>
            </w:r>
          </w:p>
          <w:p>
            <w:pPr>
              <w:widowControl/>
              <w:adjustRightInd w:val="0"/>
              <w:snapToGrid w:val="0"/>
              <w:spacing w:line="500" w:lineRule="exact"/>
              <w:ind w:firstLine="600" w:firstLineChars="200"/>
              <w:jc w:val="left"/>
              <w:rPr>
                <w:rFonts w:ascii="仿宋_GB2312" w:hAnsi="仿宋" w:eastAsia="仿宋_GB2312"/>
                <w:color w:val="000000" w:themeColor="text1"/>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七、</w:t>
            </w:r>
            <w:r>
              <w:rPr>
                <w:rFonts w:hint="eastAsia" w:ascii="Times New Roman" w:hAnsi="宋体" w:eastAsia="仿宋_GB2312" w:cs="宋体"/>
                <w:color w:val="000000" w:themeColor="text1"/>
                <w:kern w:val="0"/>
                <w:sz w:val="30"/>
                <w:szCs w:val="30"/>
                <w14:textFill>
                  <w14:solidFill>
                    <w14:schemeClr w14:val="tx1"/>
                  </w14:solidFill>
                </w14:textFill>
              </w:rPr>
              <w:t>质量、效益、安全、减排降碳等指标达国际领先水平，节能减排、</w:t>
            </w:r>
            <w:r>
              <w:rPr>
                <w:rFonts w:hint="eastAsia" w:ascii="仿宋_GB2312" w:hAnsi="仿宋" w:eastAsia="仿宋_GB2312"/>
                <w:color w:val="000000" w:themeColor="text1"/>
                <w:sz w:val="30"/>
                <w:szCs w:val="30"/>
                <w14:textFill>
                  <w14:solidFill>
                    <w14:schemeClr w14:val="tx1"/>
                  </w14:solidFill>
                </w14:textFill>
              </w:rPr>
              <w:t>绿色生产、生态文明建设和实现可持续发展等方面的突出表现。</w:t>
            </w:r>
          </w:p>
          <w:p>
            <w:pPr>
              <w:widowControl/>
              <w:spacing w:line="500" w:lineRule="exact"/>
              <w:ind w:firstLine="600" w:firstLineChars="200"/>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八、项目实施过程中关于</w:t>
            </w:r>
            <w:r>
              <w:rPr>
                <w:rFonts w:hint="eastAsia" w:ascii="Times New Roman" w:hAnsi="宋体" w:eastAsia="仿宋_GB2312" w:cs="宋体"/>
                <w:color w:val="000000" w:themeColor="text1"/>
                <w:kern w:val="0"/>
                <w:sz w:val="30"/>
                <w:szCs w:val="30"/>
                <w14:textFill>
                  <w14:solidFill>
                    <w14:schemeClr w14:val="tx1"/>
                  </w14:solidFill>
                </w14:textFill>
              </w:rPr>
              <w:t>碳达峰、碳中和建立的规章制度、行动方案制定与实施情况，以及取得的实际成效。</w:t>
            </w:r>
          </w:p>
          <w:p>
            <w:pPr>
              <w:widowControl/>
              <w:spacing w:line="50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九、</w:t>
            </w:r>
            <w:r>
              <w:rPr>
                <w:rFonts w:hint="eastAsia" w:ascii="Times New Roman" w:hAnsi="宋体" w:eastAsia="仿宋_GB2312" w:cs="宋体"/>
                <w:color w:val="000000" w:themeColor="text1"/>
                <w:kern w:val="0"/>
                <w:sz w:val="30"/>
                <w:szCs w:val="30"/>
                <w14:textFill>
                  <w14:solidFill>
                    <w14:schemeClr w14:val="tx1"/>
                  </w14:solidFill>
                </w14:textFill>
              </w:rPr>
              <w:t>在创新驱动、供给侧结构性改革和走出去等过程中的先进做法和典型经验。</w:t>
            </w:r>
          </w:p>
          <w:p>
            <w:pPr>
              <w:widowControl/>
              <w:spacing w:before="156" w:after="15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jc w:val="left"/>
              <w:rPr>
                <w:rFonts w:ascii="Times New Roman" w:hAnsi="Times New Roman" w:cs="宋体"/>
                <w:color w:val="000000" w:themeColor="text1"/>
                <w:kern w:val="0"/>
                <w:sz w:val="30"/>
                <w:szCs w:val="30"/>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项目负责人：</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项目承担单位：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1500" w:firstLineChars="500"/>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5-1</w:t>
      </w:r>
      <w:r>
        <w:rPr>
          <w:rFonts w:hint="eastAsia" w:ascii="Times New Roman" w:hAnsi="Times New Roman" w:cs="宋体"/>
          <w:b/>
          <w:color w:val="000000" w:themeColor="text1"/>
          <w:w w:val="90"/>
          <w:kern w:val="0"/>
          <w:sz w:val="36"/>
          <w:szCs w:val="24"/>
          <w14:textFill>
            <w14:solidFill>
              <w14:schemeClr w14:val="tx1"/>
            </w14:solidFill>
          </w14:textFill>
        </w:rPr>
        <w:t>省（区、市）工业经济联合会（协会）资格审查意见</w:t>
      </w:r>
    </w:p>
    <w:tbl>
      <w:tblPr>
        <w:tblStyle w:val="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bCs/>
                <w:color w:val="000000" w:themeColor="text1"/>
                <w:kern w:val="0"/>
                <w:sz w:val="30"/>
                <w:szCs w:val="30"/>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bCs/>
                <w:color w:val="000000" w:themeColor="text1"/>
                <w:kern w:val="0"/>
                <w:sz w:val="30"/>
                <w:szCs w:val="30"/>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5-2</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全国性工业行业联合会（协会）资格审查意见</w:t>
      </w:r>
    </w:p>
    <w:tbl>
      <w:tblPr>
        <w:tblStyle w:val="8"/>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6</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行业评审意见</w:t>
      </w:r>
    </w:p>
    <w:tbl>
      <w:tblPr>
        <w:tblStyle w:val="8"/>
        <w:tblW w:w="50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评审组长：</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7</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综合评审意见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65" w:firstLineChars="1255"/>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8</w:t>
      </w:r>
      <w:r>
        <w:rPr>
          <w:rFonts w:ascii="宋体" w:hAnsi="宋体" w:cs="宋体"/>
          <w:b/>
          <w:bCs/>
          <w:color w:val="000000" w:themeColor="text1"/>
          <w:kern w:val="0"/>
          <w:sz w:val="32"/>
          <w:szCs w:val="24"/>
          <w14:textFill>
            <w14:solidFill>
              <w14:schemeClr w14:val="tx1"/>
            </w14:solidFill>
          </w14:textFill>
        </w:rPr>
        <w:t xml:space="preserve">   </w:t>
      </w:r>
      <w:r>
        <w:rPr>
          <w:rFonts w:ascii="Times New Roman" w:hAnsi="Times New Roman"/>
          <w:b/>
          <w:color w:val="000000" w:themeColor="text1"/>
          <w:kern w:val="0"/>
          <w:sz w:val="36"/>
          <w:szCs w:val="36"/>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工作委员会意见</w:t>
      </w:r>
    </w:p>
    <w:tbl>
      <w:tblPr>
        <w:tblStyle w:val="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94"/>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9</w:t>
      </w:r>
      <w:r>
        <w:rPr>
          <w:rFonts w:ascii="宋体" w:hAnsi="宋体" w:cs="宋体"/>
          <w:b/>
          <w:bCs/>
          <w:color w:val="000000" w:themeColor="text1"/>
          <w:kern w:val="0"/>
          <w:sz w:val="32"/>
          <w:szCs w:val="24"/>
          <w14:textFill>
            <w14:solidFill>
              <w14:schemeClr w14:val="tx1"/>
            </w14:solidFill>
          </w14:textFill>
        </w:rPr>
        <w:t xml:space="preserve">   </w:t>
      </w:r>
      <w:r>
        <w:rPr>
          <w:rFonts w:ascii="Times New Roman" w:hAnsi="Times New Roman"/>
          <w:b/>
          <w:color w:val="000000" w:themeColor="text1"/>
          <w:kern w:val="0"/>
          <w:sz w:val="36"/>
          <w:szCs w:val="36"/>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审定委员会意见</w:t>
      </w:r>
    </w:p>
    <w:tbl>
      <w:tblPr>
        <w:tblStyle w:val="8"/>
        <w:tblW w:w="50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521" w:firstLineChars="1507"/>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黑体" w:hAnsi="宋体" w:eastAsia="黑体"/>
          <w:b/>
          <w:color w:val="000000" w:themeColor="text1"/>
          <w:sz w:val="32"/>
          <w:szCs w:val="32"/>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主</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要</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解</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释</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技术创新程度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技术经济指标的先进程度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指与国内外最先进技术相比其总体技术水平、主要技术（性能、性状、工艺参数等）、经济（投入产出比、性能价格比、成本、规模等）、环境、生态等指标所处的位置。</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提升行业整体水平程度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项目成果转化及应用推广程度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指项目的实用性、适用性和已经推广应用的范围。</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经济效益和战略意义</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总资产贡献率</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反映企业全部资产的获利能力，是企业经营业绩和管理水平的集中体现，是评价和考核企业盈利能力的核心指标。</w:t>
      </w:r>
    </w:p>
    <w:p>
      <w:pPr>
        <w:widowControl/>
        <w:tabs>
          <w:tab w:val="left" w:pos="1287"/>
        </w:tabs>
        <w:spacing w:line="360" w:lineRule="auto"/>
        <w:ind w:left="153" w:leftChars="73" w:firstLine="700" w:firstLineChars="25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计算公式为：</w:t>
      </w:r>
      <w:r>
        <w:rPr>
          <w:rFonts w:hint="eastAsia" w:ascii="仿宋_GB2312" w:hAnsi="宋体" w:eastAsia="仿宋_GB2312" w:cs="汉仪书宋一简"/>
          <w:color w:val="000000" w:themeColor="text1"/>
          <w:kern w:val="0"/>
          <w:sz w:val="28"/>
          <w:szCs w:val="28"/>
          <w14:textFill>
            <w14:solidFill>
              <w14:schemeClr w14:val="tx1"/>
            </w14:solidFill>
          </w14:textFill>
        </w:rPr>
        <w:t>总资产贡献率</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（利润总额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税金总额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利息支出）</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平均资产总额（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w:t>
      </w:r>
    </w:p>
    <w:p>
      <w:pPr>
        <w:widowControl/>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式中：税金总额为产品销售税金及附加与应交增值税之和；平均资产总额为期初期末资产之和的算术平均值。</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资产负债率</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该指标既反映企业经营风险的大小，也反映企业利用债权人提供的资金从事经营活动的能力。计算公式为：</w:t>
      </w:r>
    </w:p>
    <w:p>
      <w:pPr>
        <w:widowControl/>
        <w:tabs>
          <w:tab w:val="left" w:pos="1134"/>
        </w:tabs>
        <w:spacing w:line="700" w:lineRule="exact"/>
        <w:ind w:left="-4" w:leftChars="-2" w:firstLine="567" w:firstLineChars="270"/>
        <w:jc w:val="left"/>
        <w:rPr>
          <w:color w:val="000000" w:themeColor="text1"/>
          <w14:textFill>
            <w14:solidFill>
              <w14:schemeClr w14:val="tx1"/>
            </w14:solidFill>
          </w14:textFill>
        </w:rPr>
      </w:pPr>
      <w:r>
        <w:rPr>
          <w:color w:val="000000" w:themeColor="text1"/>
          <w:position w:val="-26"/>
          <w14:textFill>
            <w14:solidFill>
              <w14:schemeClr w14:val="tx1"/>
            </w14:solidFill>
          </w14:textFill>
        </w:rPr>
        <w:object>
          <v:shape id="_x0000_i1025" o:spt="75" type="#_x0000_t75" style="height:33.6pt;width:260.4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widowControl/>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式中：资产与负债均为报告期期末数。</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流动资产周转次数</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指一定时期内流动资产完成的周转次数，反映投入工业企业流动资金的周转速度。计算公式为：</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26" o:spt="75" type="#_x0000_t75" style="height:33.6pt;width:281.4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widowControl/>
        <w:spacing w:line="700" w:lineRule="exact"/>
        <w:ind w:left="-6"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式中：全部流动资产平均余额为期初和期末的流动资产之和的算术平均值。</w:t>
      </w:r>
    </w:p>
    <w:p>
      <w:pPr>
        <w:widowControl/>
        <w:tabs>
          <w:tab w:val="left" w:pos="1134"/>
        </w:tabs>
        <w:spacing w:line="700" w:lineRule="exact"/>
        <w:ind w:left="-5" w:firstLine="594"/>
        <w:jc w:val="left"/>
        <w:rPr>
          <w:rFonts w:ascii="Times New Roman" w:hAnsi="宋体" w:eastAsia="仿宋_GB2312" w:cs="宋体"/>
          <w:color w:val="000000" w:themeColor="text1"/>
          <w:spacing w:val="8"/>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14:textFill>
            <w14:solidFill>
              <w14:schemeClr w14:val="tx1"/>
            </w14:solidFill>
          </w14:textFill>
        </w:rPr>
        <w:t>工业成本费用利润率</w:t>
      </w:r>
      <w:r>
        <w:rPr>
          <w:rFonts w:ascii="Times New Roman" w:hAnsi="Times New Roman" w:eastAsia="仿宋_GB2312"/>
          <w:b/>
          <w:bCs/>
          <w:color w:val="000000" w:themeColor="text1"/>
          <w:spacing w:val="8"/>
          <w:kern w:val="0"/>
          <w:sz w:val="28"/>
          <w:szCs w:val="28"/>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134"/>
        </w:tabs>
        <w:spacing w:line="700" w:lineRule="exact"/>
        <w:ind w:left="-5" w:firstLine="594"/>
        <w:jc w:val="left"/>
        <w:rPr>
          <w:rFonts w:ascii="宋体" w:cs="宋体"/>
          <w:color w:val="000000" w:themeColor="text1"/>
          <w:kern w:val="0"/>
          <w:sz w:val="24"/>
          <w:szCs w:val="24"/>
          <w14:textFill>
            <w14:solidFill>
              <w14:schemeClr w14:val="tx1"/>
            </w14:solidFill>
          </w14:textFill>
        </w:rPr>
      </w:pPr>
      <w:r>
        <w:rPr>
          <w:rFonts w:ascii="方正黑体简体" w:eastAsia="方正黑体简体"/>
          <w:color w:val="000000" w:themeColor="text1"/>
          <w:position w:val="-26"/>
          <w:sz w:val="18"/>
          <w:szCs w:val="18"/>
          <w14:textFill>
            <w14:solidFill>
              <w14:schemeClr w14:val="tx1"/>
            </w14:solidFill>
          </w14:textFill>
        </w:rPr>
        <w:object>
          <v:shape id="_x0000_i1027" o:spt="75" type="#_x0000_t75" style="height:35.4pt;width:293.4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widowControl/>
        <w:tabs>
          <w:tab w:val="left" w:pos="1134"/>
        </w:tabs>
        <w:spacing w:line="700" w:lineRule="exact"/>
        <w:ind w:left="-5"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14:textFill>
            <w14:solidFill>
              <w14:schemeClr w14:val="tx1"/>
            </w14:solidFill>
          </w14:textFill>
        </w:rPr>
        <w:t>销售利润率</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指衡量企业</w:t>
      </w:r>
      <w:r>
        <w:fldChar w:fldCharType="begin"/>
      </w:r>
      <w:r>
        <w:instrText xml:space="preserve"> HYPERLINK "http://baike.baidu.com/view/634424.htm" \t "_blank" </w:instrText>
      </w:r>
      <w:r>
        <w:fldChar w:fldCharType="separate"/>
      </w:r>
      <w:r>
        <w:rPr>
          <w:rFonts w:hint="eastAsia" w:ascii="仿宋_GB2312" w:hAnsi="Arial" w:eastAsia="仿宋_GB2312" w:cs="Arial"/>
          <w:color w:val="000000" w:themeColor="text1"/>
          <w:spacing w:val="8"/>
          <w:kern w:val="0"/>
          <w:sz w:val="28"/>
          <w:u w:val="single"/>
          <w14:textFill>
            <w14:solidFill>
              <w14:schemeClr w14:val="tx1"/>
            </w14:solidFill>
          </w14:textFill>
        </w:rPr>
        <w:t>销售收入</w:t>
      </w:r>
      <w:r>
        <w:rPr>
          <w:rFonts w:hint="eastAsia" w:ascii="仿宋_GB2312" w:hAnsi="Arial" w:eastAsia="仿宋_GB2312" w:cs="Arial"/>
          <w:color w:val="000000" w:themeColor="text1"/>
          <w:spacing w:val="8"/>
          <w:kern w:val="0"/>
          <w:sz w:val="28"/>
          <w:u w:val="singl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的收益水平的</w:t>
      </w:r>
      <w:r>
        <w:fldChar w:fldCharType="begin"/>
      </w:r>
      <w:r>
        <w:instrText xml:space="preserve"> HYPERLINK "http://baike.baidu.com/view/605645.htm" \t "_blank" </w:instrText>
      </w:r>
      <w:r>
        <w:fldChar w:fldCharType="separate"/>
      </w:r>
      <w:r>
        <w:rPr>
          <w:rFonts w:hint="eastAsia" w:ascii="仿宋_GB2312" w:hAnsi="Arial" w:eastAsia="仿宋_GB2312" w:cs="Arial"/>
          <w:color w:val="000000" w:themeColor="text1"/>
          <w:spacing w:val="8"/>
          <w:kern w:val="0"/>
          <w:sz w:val="28"/>
          <w:u w:val="single"/>
          <w14:textFill>
            <w14:solidFill>
              <w14:schemeClr w14:val="tx1"/>
            </w14:solidFill>
          </w14:textFill>
        </w:rPr>
        <w:t>指标</w:t>
      </w:r>
      <w:r>
        <w:rPr>
          <w:rFonts w:hint="eastAsia" w:ascii="仿宋_GB2312" w:hAnsi="Arial" w:eastAsia="仿宋_GB2312" w:cs="Arial"/>
          <w:color w:val="000000" w:themeColor="text1"/>
          <w:spacing w:val="8"/>
          <w:kern w:val="0"/>
          <w:sz w:val="28"/>
          <w:u w:val="singl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。计算公式为：</w:t>
      </w:r>
      <w:r>
        <w:rPr>
          <w:rFonts w:ascii="仿宋_GB2312" w:eastAsia="仿宋_GB2312"/>
          <w:color w:val="000000" w:themeColor="text1"/>
          <w:position w:val="-26"/>
          <w:sz w:val="28"/>
          <w:szCs w:val="28"/>
          <w14:textFill>
            <w14:solidFill>
              <w14:schemeClr w14:val="tx1"/>
            </w14:solidFill>
          </w14:textFill>
        </w:rPr>
        <w:object>
          <v:shape id="_x0000_i1028" o:spt="75" type="#_x0000_t75" style="height:33.6pt;width:210.6pt;" o:ole="t" fillcolor="#FF6600"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净资产收益率</w:t>
      </w:r>
      <w:r>
        <w:rPr>
          <w:rFonts w:hint="eastAsia" w:ascii="Times New Roman" w:hAnsi="宋体" w:eastAsia="仿宋_GB2312" w:cs="宋体"/>
          <w:color w:val="000000" w:themeColor="text1"/>
          <w:kern w:val="0"/>
          <w:sz w:val="28"/>
          <w:szCs w:val="28"/>
          <w14:textFill>
            <w14:solidFill>
              <w14:schemeClr w14:val="tx1"/>
            </w14:solidFill>
          </w14:textFill>
        </w:rPr>
        <w:t>（又称</w:t>
      </w:r>
      <w:r>
        <w:fldChar w:fldCharType="begin"/>
      </w:r>
      <w:r>
        <w:instrText xml:space="preserve"> HYPERLINK "http://baike.baidu.com/view/1304215.htm" \t "_blank" </w:instrText>
      </w:r>
      <w:r>
        <w:fldChar w:fldCharType="separate"/>
      </w:r>
      <w:r>
        <w:rPr>
          <w:rFonts w:hint="eastAsia" w:ascii="Times New Roman" w:hAnsi="宋体" w:eastAsia="仿宋_GB2312" w:cs="宋体"/>
          <w:color w:val="000000" w:themeColor="text1"/>
          <w:kern w:val="0"/>
          <w:sz w:val="28"/>
          <w14:textFill>
            <w14:solidFill>
              <w14:schemeClr w14:val="tx1"/>
            </w14:solidFill>
          </w14:textFill>
        </w:rPr>
        <w:t>股东权益收益率</w:t>
      </w:r>
      <w:r>
        <w:rPr>
          <w:rFonts w:hint="eastAsia" w:ascii="Times New Roman" w:hAnsi="宋体" w:eastAsia="仿宋_GB2312" w:cs="宋体"/>
          <w:color w:val="000000" w:themeColor="text1"/>
          <w:kern w:val="0"/>
          <w:sz w:val="28"/>
          <w14:textFill>
            <w14:solidFill>
              <w14:schemeClr w14:val="tx1"/>
            </w14:solidFill>
          </w14:textFill>
        </w:rPr>
        <w:fldChar w:fldCharType="end"/>
      </w:r>
      <w:r>
        <w:rPr>
          <w:rFonts w:hint="eastAsia" w:ascii="Times New Roman" w:hAnsi="宋体" w:eastAsia="仿宋_GB2312" w:cs="宋体"/>
          <w:color w:val="000000" w:themeColor="text1"/>
          <w:kern w:val="0"/>
          <w:sz w:val="28"/>
          <w:szCs w:val="28"/>
          <w14:textFill>
            <w14:solidFill>
              <w14:schemeClr w14:val="tx1"/>
            </w14:solidFill>
          </w14:textFill>
        </w:rPr>
        <w:t>）</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是净利润与平均股东权益的百分比，是公司税后利润除以净资产得到的百分比率。</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主营业务收入</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指会计</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利润表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Times New Roman" w:hAnsi="宋体" w:eastAsia="仿宋_GB2312" w:cs="宋体"/>
          <w:color w:val="000000" w:themeColor="text1"/>
          <w:kern w:val="0"/>
          <w:sz w:val="28"/>
          <w:szCs w:val="28"/>
          <w14:textFill>
            <w14:solidFill>
              <w14:schemeClr w14:val="tx1"/>
            </w14:solidFill>
          </w14:textFill>
        </w:rPr>
        <w:t>年《企业会计制度》的企业，用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产品销售收入</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的本期累计数代替。</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主营业务税金及附加</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指会计</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利润表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Times New Roman" w:hAnsi="宋体" w:eastAsia="仿宋_GB2312" w:cs="宋体"/>
          <w:color w:val="000000" w:themeColor="text1"/>
          <w:kern w:val="0"/>
          <w:sz w:val="28"/>
          <w:szCs w:val="28"/>
          <w14:textFill>
            <w14:solidFill>
              <w14:schemeClr w14:val="tx1"/>
            </w14:solidFill>
          </w14:textFill>
        </w:rPr>
        <w:t>年《企业会计制度》的企业，用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产品销售税金及附加</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的本期累计数代替。</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利润总额</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指企业生产经营活动的最终成果，是企业在一定时期内实现的盈亏相抵后的利润总额</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亏损以</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号表示</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，它等于营业利润加上补贴收入加上投资收益加上营业外净收入再加上以前年度损益调整。</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遵守环境保护法律法规</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指建设项目各阶段环境保护审批程序符合情况。</w:t>
      </w:r>
    </w:p>
    <w:p>
      <w:pPr>
        <w:widowControl/>
        <w:tabs>
          <w:tab w:val="left" w:pos="1134"/>
        </w:tabs>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环境保护情况</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着重描述项目污染物达标排放情况、总量控制指标完成情况、污染治理设施运行情况、在线监测仪器安装运行情况。</w:t>
      </w:r>
    </w:p>
    <w:p>
      <w:pPr>
        <w:widowControl/>
        <w:tabs>
          <w:tab w:val="left" w:pos="1134"/>
        </w:tabs>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生产过程环境友好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采用清洁生产工艺，采用低毒无害环境友好原材料。</w:t>
      </w:r>
    </w:p>
    <w:p>
      <w:pPr>
        <w:widowControl/>
        <w:tabs>
          <w:tab w:val="left" w:pos="1134"/>
        </w:tabs>
        <w:spacing w:line="700" w:lineRule="exact"/>
        <w:ind w:left="-5" w:firstLine="56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生产产品环境保护友好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低污染、相关环保认证（环境标志、有机、绿色等）。</w:t>
      </w:r>
    </w:p>
    <w:p>
      <w:pPr>
        <w:widowControl/>
        <w:tabs>
          <w:tab w:val="left" w:pos="1134"/>
        </w:tabs>
        <w:spacing w:line="700" w:lineRule="exact"/>
        <w:ind w:left="-5" w:firstLine="56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环境污染与破坏事故</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14:textFill>
            <w14:solidFill>
              <w14:schemeClr w14:val="tx1"/>
            </w14:solidFill>
          </w14:textFill>
        </w:rPr>
        <w:t>质量保证和服务体系</w:t>
      </w:r>
      <w:r>
        <w:rPr>
          <w:rFonts w:ascii="Times New Roman" w:hAnsi="Times New Roman" w:eastAsia="仿宋_GB2312"/>
          <w:color w:val="000000" w:themeColor="text1"/>
          <w:spacing w:val="8"/>
          <w:kern w:val="0"/>
          <w:sz w:val="28"/>
          <w:szCs w:val="28"/>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14:textFill>
            <w14:solidFill>
              <w14:schemeClr w14:val="tx1"/>
            </w14:solidFill>
          </w14:textFill>
        </w:rPr>
        <w:t>安全生产管理体系建设</w:t>
      </w:r>
      <w:r>
        <w:rPr>
          <w:rFonts w:ascii="Times New Roman" w:hAnsi="Times New Roman"/>
          <w:b/>
          <w:color w:val="000000" w:themeColor="text1"/>
          <w:kern w:val="0"/>
          <w:sz w:val="24"/>
          <w:szCs w:val="24"/>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魏碑简体">
    <w:altName w:val="Arial Unicode MS"/>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10</w:t>
    </w:r>
    <w:r>
      <w:rPr>
        <w:rStyle w:val="11"/>
        <w:rFonts w:ascii="Times New Roman" w:hAnsi="Times New Roman"/>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34B63"/>
    <w:rsid w:val="00135F05"/>
    <w:rsid w:val="00144EFA"/>
    <w:rsid w:val="00151AE1"/>
    <w:rsid w:val="0015318E"/>
    <w:rsid w:val="00163663"/>
    <w:rsid w:val="00196BA9"/>
    <w:rsid w:val="001A5432"/>
    <w:rsid w:val="001C1782"/>
    <w:rsid w:val="001C3A71"/>
    <w:rsid w:val="001C6FFD"/>
    <w:rsid w:val="001D2903"/>
    <w:rsid w:val="001E76E7"/>
    <w:rsid w:val="001F6573"/>
    <w:rsid w:val="00207059"/>
    <w:rsid w:val="002128E8"/>
    <w:rsid w:val="00212EA1"/>
    <w:rsid w:val="00234897"/>
    <w:rsid w:val="00236759"/>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52D16"/>
    <w:rsid w:val="00680428"/>
    <w:rsid w:val="006905BD"/>
    <w:rsid w:val="006A0071"/>
    <w:rsid w:val="006A3245"/>
    <w:rsid w:val="006A46C6"/>
    <w:rsid w:val="006B65BF"/>
    <w:rsid w:val="006C2BC7"/>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108E0525"/>
    <w:rsid w:val="18A93BB4"/>
    <w:rsid w:val="1C752FA8"/>
    <w:rsid w:val="1D613800"/>
    <w:rsid w:val="276B102C"/>
    <w:rsid w:val="341835DF"/>
    <w:rsid w:val="39EB3E8D"/>
    <w:rsid w:val="3C0B59A6"/>
    <w:rsid w:val="3C9348AF"/>
    <w:rsid w:val="3FCB3913"/>
    <w:rsid w:val="484E6433"/>
    <w:rsid w:val="4A5D7E22"/>
    <w:rsid w:val="50704476"/>
    <w:rsid w:val="545E5CBF"/>
    <w:rsid w:val="55952C82"/>
    <w:rsid w:val="57FA2E2D"/>
    <w:rsid w:val="5BBC44DB"/>
    <w:rsid w:val="5FBC278B"/>
    <w:rsid w:val="62AF1794"/>
    <w:rsid w:val="63A37143"/>
    <w:rsid w:val="64004E4C"/>
    <w:rsid w:val="643D3833"/>
    <w:rsid w:val="6741635A"/>
    <w:rsid w:val="6AD40899"/>
    <w:rsid w:val="7086365E"/>
    <w:rsid w:val="73612777"/>
    <w:rsid w:val="77DE3A62"/>
    <w:rsid w:val="79D93954"/>
    <w:rsid w:val="7E1D2463"/>
    <w:rsid w:val="7EAE08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99"/>
    <w:pPr>
      <w:widowControl/>
      <w:spacing w:before="100" w:beforeAutospacing="1" w:after="100" w:afterAutospacing="1"/>
      <w:jc w:val="left"/>
    </w:pPr>
    <w:rPr>
      <w:rFonts w:ascii="宋体" w:hAnsi="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qFormat/>
    <w:uiPriority w:val="99"/>
    <w:rPr>
      <w:rFonts w:cs="Times New Roman"/>
      <w:color w:val="0000FF"/>
      <w:u w:val="single"/>
    </w:rPr>
  </w:style>
  <w:style w:type="character" w:customStyle="1" w:styleId="13">
    <w:name w:val="页眉 Char"/>
    <w:basedOn w:val="9"/>
    <w:link w:val="5"/>
    <w:semiHidden/>
    <w:qFormat/>
    <w:locked/>
    <w:uiPriority w:val="99"/>
    <w:rPr>
      <w:rFonts w:cs="Times New Roman"/>
      <w:sz w:val="18"/>
      <w:szCs w:val="18"/>
    </w:rPr>
  </w:style>
  <w:style w:type="character" w:customStyle="1" w:styleId="14">
    <w:name w:val="页脚 Char"/>
    <w:basedOn w:val="9"/>
    <w:link w:val="4"/>
    <w:semiHidden/>
    <w:qFormat/>
    <w:locked/>
    <w:uiPriority w:val="99"/>
    <w:rPr>
      <w:rFonts w:cs="Times New Roman"/>
      <w:sz w:val="18"/>
      <w:szCs w:val="18"/>
    </w:rPr>
  </w:style>
  <w:style w:type="character" w:customStyle="1" w:styleId="15">
    <w:name w:val="纯文本 Char"/>
    <w:basedOn w:val="9"/>
    <w:link w:val="2"/>
    <w:qFormat/>
    <w:locked/>
    <w:uiPriority w:val="99"/>
    <w:rPr>
      <w:rFonts w:ascii="宋体" w:hAnsi="宋体" w:eastAsia="宋体" w:cs="宋体"/>
      <w:kern w:val="0"/>
      <w:sz w:val="24"/>
      <w:szCs w:val="24"/>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21</Pages>
  <Words>862</Words>
  <Characters>4917</Characters>
  <Lines>40</Lines>
  <Paragraphs>11</Paragraphs>
  <TotalTime>18</TotalTime>
  <ScaleCrop>false</ScaleCrop>
  <LinksUpToDate>false</LinksUpToDate>
  <CharactersWithSpaces>5768</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2021-07-09T07:05:00Z</dcterms:created>
  <dc:creator>大奖</dc:creator>
  <cp:lastModifiedBy>曹世翔</cp:lastModifiedBy>
  <cp:lastPrinted>2021-07-22T06:37:00Z</cp:lastPrinted>
  <dcterms:modified xsi:type="dcterms:W3CDTF">2021-08-04T06:12:24Z</dcterms:modified>
  <dc:title>附件五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826DAE3F8707426EA58534AC709FE7C6</vt:lpwstr>
  </property>
</Properties>
</file>